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spacing w:lineRule="atLeast" w:line="2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00"/>
        <w:rPr>
          <w:rFonts w:ascii="Arial" w:hAnsi="Arial" w:cs="Arial"/>
          <w:sz w:val="44"/>
        </w:rPr>
      </w:pPr>
      <w:r>
        <w:rPr>
          <w:rFonts w:cs="Arial" w:ascii="Arial" w:hAnsi="Arial"/>
          <w:sz w:val="44"/>
        </w:rPr>
      </w:r>
    </w:p>
    <w:p>
      <w:pPr>
        <w:pStyle w:val="Tlotextu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PŘÍLOHA V ÚČETNÍ ZÁVĚRCE</w:t>
      </w:r>
    </w:p>
    <w:p>
      <w:pPr>
        <w:pStyle w:val="Normal"/>
        <w:spacing w:lineRule="atLeast" w:line="20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40"/>
          <w:szCs w:val="24"/>
        </w:rPr>
      </w:pPr>
      <w:r>
        <w:rPr>
          <w:rFonts w:cs="Arial" w:ascii="Arial" w:hAnsi="Arial"/>
          <w:sz w:val="40"/>
          <w:szCs w:val="24"/>
        </w:rPr>
        <w:t>sestavená k 31.12.2022</w:t>
      </w:r>
    </w:p>
    <w:p>
      <w:pPr>
        <w:pStyle w:val="Normal"/>
        <w:spacing w:lineRule="atLeast" w:line="200"/>
        <w:jc w:val="center"/>
        <w:rPr>
          <w:rFonts w:ascii="Arial" w:hAnsi="Arial" w:cs="Arial"/>
          <w:sz w:val="40"/>
          <w:szCs w:val="24"/>
        </w:rPr>
      </w:pPr>
      <w:r>
        <w:rPr>
          <w:rFonts w:cs="Arial" w:ascii="Arial" w:hAnsi="Arial"/>
          <w:sz w:val="40"/>
          <w:szCs w:val="24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40"/>
          <w:szCs w:val="24"/>
        </w:rPr>
      </w:pPr>
      <w:r>
        <w:rPr>
          <w:rFonts w:cs="Arial" w:ascii="Arial" w:hAnsi="Arial"/>
          <w:sz w:val="40"/>
          <w:szCs w:val="24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40"/>
          <w:szCs w:val="24"/>
        </w:rPr>
      </w:pPr>
      <w:r>
        <w:rPr>
          <w:rFonts w:cs="Arial" w:ascii="Arial" w:hAnsi="Arial"/>
          <w:sz w:val="40"/>
          <w:szCs w:val="24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40"/>
          <w:szCs w:val="24"/>
        </w:rPr>
      </w:pPr>
      <w:r>
        <w:rPr>
          <w:rFonts w:cs="Arial" w:ascii="Arial" w:hAnsi="Arial"/>
          <w:sz w:val="40"/>
          <w:szCs w:val="24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  <w:szCs w:val="24"/>
        </w:rPr>
      </w:pPr>
      <w:r>
        <w:rPr>
          <w:rFonts w:cs="Arial" w:ascii="Arial" w:hAnsi="Arial"/>
          <w:sz w:val="32"/>
          <w:szCs w:val="24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>Organizace XYZ</w:t>
      </w:r>
    </w:p>
    <w:p>
      <w:pPr>
        <w:pStyle w:val="Normal"/>
        <w:spacing w:lineRule="atLeast" w:line="20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Adresa, IČ: XXXXXXXX</w:t>
      </w:r>
    </w:p>
    <w:p>
      <w:pPr>
        <w:pStyle w:val="Normal"/>
        <w:spacing w:lineRule="atLeast" w:line="200"/>
        <w:jc w:val="center"/>
        <w:rPr>
          <w:rFonts w:ascii="Arial" w:hAnsi="Arial" w:cs="Arial"/>
          <w:sz w:val="40"/>
          <w:szCs w:val="24"/>
        </w:rPr>
      </w:pPr>
      <w:r>
        <w:rPr>
          <w:rFonts w:cs="Arial" w:ascii="Arial" w:hAnsi="Arial"/>
          <w:sz w:val="40"/>
          <w:szCs w:val="24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TOAHeading"/>
        <w:rPr/>
      </w:pPr>
      <w:r>
        <w:rPr/>
        <w:t>Obsah</w:t>
      </w:r>
    </w:p>
    <w:p>
      <w:pPr>
        <w:pStyle w:val="TOAHeading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Obsah1"/>
            <w:rPr/>
          </w:pPr>
          <w:r>
            <w:fldChar w:fldCharType="begin"/>
          </w:r>
          <w:r>
            <w:rPr>
              <w:rStyle w:val="Odkaznarejstk"/>
            </w:rPr>
            <w:instrText> TOC \f \o "1-9" \h</w:instrText>
          </w:r>
          <w:r>
            <w:rPr>
              <w:rStyle w:val="Odkaznarejstk"/>
            </w:rPr>
            <w:fldChar w:fldCharType="separate"/>
          </w:r>
          <w:hyperlink w:anchor="__RefHeading___Toc17592_1034045428">
            <w:r>
              <w:rPr>
                <w:rStyle w:val="Odkaznarejstk"/>
              </w:rPr>
              <w:t>I.  Základní údaje</w:t>
              <w:tab/>
              <w:t>3</w:t>
            </w:r>
          </w:hyperlink>
        </w:p>
        <w:p>
          <w:pPr>
            <w:pStyle w:val="Obsah1"/>
            <w:rPr/>
          </w:pPr>
          <w:hyperlink w:anchor="__RefHeading___Toc17594_1034045428">
            <w:r>
              <w:rPr>
                <w:rStyle w:val="Odkaznarejstk"/>
              </w:rPr>
              <w:t>II.  Obecné účetní zásady</w:t>
              <w:tab/>
              <w:t>4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599_1034045428">
            <w:r>
              <w:rPr>
                <w:rStyle w:val="Odkaznarejstk"/>
              </w:rPr>
              <w:t>II.1.  Dlouhodobý majetek</w:t>
              <w:tab/>
              <w:t>4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15_1034045428">
            <w:r>
              <w:rPr>
                <w:rStyle w:val="Odkaznarejstk"/>
              </w:rPr>
              <w:t>II.2.  Cenné papíry a podíly</w:t>
              <w:tab/>
              <w:t>4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01_1034045428">
            <w:r>
              <w:rPr>
                <w:rStyle w:val="Odkaznarejstk"/>
              </w:rPr>
              <w:t>II.3.  Zásoby</w:t>
              <w:tab/>
              <w:t>4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03_1034045428">
            <w:r>
              <w:rPr>
                <w:rStyle w:val="Odkaznarejstk"/>
              </w:rPr>
              <w:t>II.4.  Pohledávky</w:t>
              <w:tab/>
              <w:t>4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05_1034045428">
            <w:r>
              <w:rPr>
                <w:rStyle w:val="Odkaznarejstk"/>
              </w:rPr>
              <w:t>II.5.  Cizoměnové transakce</w:t>
              <w:tab/>
              <w:t>5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07_1034045428">
            <w:r>
              <w:rPr>
                <w:rStyle w:val="Odkaznarejstk"/>
              </w:rPr>
              <w:t>II.6.  Časové rozlišení</w:t>
              <w:tab/>
              <w:t>5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09_1034045428">
            <w:r>
              <w:rPr>
                <w:rStyle w:val="Odkaznarejstk"/>
              </w:rPr>
              <w:t>II.7.  Bezúplatně nabytý dlouhodobý majetek, investiční dotace a dary</w:t>
              <w:tab/>
              <w:t>5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11_1034045428">
            <w:r>
              <w:rPr>
                <w:rStyle w:val="Odkaznarejstk"/>
              </w:rPr>
              <w:t>II.8.  Veřejná sbírka</w:t>
              <w:tab/>
              <w:t>5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13_1034045428">
            <w:r>
              <w:rPr>
                <w:rStyle w:val="Odkaznarejstk"/>
              </w:rPr>
              <w:t>II.9.  Přijaté dary</w:t>
              <w:tab/>
              <w:t>5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258_4091125591">
            <w:r>
              <w:rPr>
                <w:rStyle w:val="Odkaznarejstk"/>
              </w:rPr>
              <w:t>II.10.  Přijaté dotace</w:t>
              <w:tab/>
              <w:t>6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17_1034045428">
            <w:r>
              <w:rPr>
                <w:rStyle w:val="Odkaznarejstk"/>
              </w:rPr>
              <w:t>II.11.  Vlastní jmění, nadační kapitál,….</w:t>
              <w:tab/>
              <w:t>6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19_1034045428">
            <w:r>
              <w:rPr>
                <w:rStyle w:val="Odkaznarejstk"/>
              </w:rPr>
              <w:t>II.12.  Daň z příjmů</w:t>
              <w:tab/>
              <w:t>6</w:t>
            </w:r>
          </w:hyperlink>
        </w:p>
        <w:p>
          <w:pPr>
            <w:pStyle w:val="Obsah1"/>
            <w:rPr/>
          </w:pPr>
          <w:hyperlink w:anchor="__RefHeading___Toc17596_1034045428">
            <w:r>
              <w:rPr>
                <w:rStyle w:val="Odkaznarejstk"/>
              </w:rPr>
              <w:t>III.  Doplňující údaje k výkazům</w:t>
              <w:tab/>
              <w:t>7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39_1034045428">
            <w:r>
              <w:rPr>
                <w:rStyle w:val="Odkaznarejstk"/>
              </w:rPr>
              <w:t>III.1.  Dlouhodobý majetek</w:t>
              <w:tab/>
              <w:t>7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41_1034045428">
            <w:r>
              <w:rPr>
                <w:rStyle w:val="Odkaznarejstk"/>
              </w:rPr>
              <w:t>III.2.  Podíly, podílové listy, dluhopisy, akcie</w:t>
              <w:tab/>
              <w:t>7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21_1034045428">
            <w:r>
              <w:rPr>
                <w:rStyle w:val="Odkaznarejstk"/>
              </w:rPr>
              <w:t>III.3.  Dluhy po splatnosti z titulu daní, sociálního či zdravotního pojištění</w:t>
              <w:tab/>
              <w:t>7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23_1034045428">
            <w:r>
              <w:rPr>
                <w:rStyle w:val="Odkaznarejstk"/>
              </w:rPr>
              <w:t>III.4.  Dlouhodobé závazky</w:t>
              <w:tab/>
              <w:t>7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25_1034045428">
            <w:r>
              <w:rPr>
                <w:rStyle w:val="Odkaznarejstk"/>
              </w:rPr>
              <w:t>III.5.  Majetek neuvedený v rozvaze</w:t>
              <w:tab/>
              <w:t>7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43_1034045428">
            <w:r>
              <w:rPr>
                <w:rStyle w:val="Odkaznarejstk"/>
              </w:rPr>
              <w:t>III.6.  Závazky nevykázané v rozvaze</w:t>
              <w:tab/>
              <w:t>7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45_1034045428">
            <w:r>
              <w:rPr>
                <w:rStyle w:val="Odkaznarejstk"/>
              </w:rPr>
              <w:t>III.7.  Osobní náklady</w:t>
              <w:tab/>
              <w:t>8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33_1034045428">
            <w:r>
              <w:rPr>
                <w:rStyle w:val="Odkaznarejstk"/>
              </w:rPr>
              <w:t>III.8.  Odměna přijatá statutárním auditorem</w:t>
              <w:tab/>
              <w:t>8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35_1034045428">
            <w:r>
              <w:rPr>
                <w:rStyle w:val="Odkaznarejstk"/>
              </w:rPr>
              <w:t>III.9.  Náklady a výnosy mimořádné svým objemem nebo původem</w:t>
              <w:tab/>
              <w:t>8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37_1034045428">
            <w:r>
              <w:rPr>
                <w:rStyle w:val="Odkaznarejstk"/>
              </w:rPr>
              <w:t>III.10.  Zástavy a ručení</w:t>
              <w:tab/>
              <w:t>9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47_1034045428">
            <w:r>
              <w:rPr>
                <w:rStyle w:val="Odkaznarejstk"/>
              </w:rPr>
              <w:t>III.11.  Přijaté dotace</w:t>
              <w:tab/>
              <w:t>9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260_4091125591">
            <w:r>
              <w:rPr>
                <w:rStyle w:val="Odkaznarejstk"/>
              </w:rPr>
              <w:t>III.12.  Přijaté dary</w:t>
              <w:tab/>
              <w:t>9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6410_3590462016">
            <w:r>
              <w:rPr>
                <w:rStyle w:val="Odkaznarejstk"/>
              </w:rPr>
              <w:t>III.13.  Poskytnuté dary</w:t>
              <w:tab/>
              <w:t>10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49_1034045428">
            <w:r>
              <w:rPr>
                <w:rStyle w:val="Odkaznarejstk"/>
              </w:rPr>
              <w:t>III.14.  Veřejná sbírka</w:t>
              <w:tab/>
              <w:t>10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31_1034045428">
            <w:r>
              <w:rPr>
                <w:rStyle w:val="Odkaznarejstk"/>
              </w:rPr>
              <w:t>III.15.  Výsledek hospodaření a daň z příjmu</w:t>
              <w:tab/>
              <w:t>11</w:t>
            </w:r>
          </w:hyperlink>
        </w:p>
        <w:p>
          <w:pPr>
            <w:pStyle w:val="Obsah2"/>
            <w:tabs>
              <w:tab w:val="clear" w:pos="8789"/>
              <w:tab w:val="right" w:pos="9072" w:leader="dot"/>
            </w:tabs>
            <w:rPr/>
          </w:pPr>
          <w:hyperlink w:anchor="__RefHeading___Toc17651_1034045428">
            <w:r>
              <w:rPr>
                <w:rStyle w:val="Odkaznarejstk"/>
              </w:rPr>
              <w:t>III.16.  Významné události mezi rozvahovým dnem a okamžikem sestavení účetní závěrky</w:t>
              <w:tab/>
              <w:t>11</w:t>
            </w:r>
          </w:hyperlink>
          <w:r>
            <w:rPr>
              <w:rStyle w:val="Odkaznarejstk"/>
            </w:rPr>
            <w:fldChar w:fldCharType="end"/>
          </w:r>
        </w:p>
      </w:sdtContent>
    </w:sdt>
    <w:p>
      <w:pPr>
        <w:pStyle w:val="Normal"/>
        <w:spacing w:lineRule="atLeast" w:line="200"/>
        <w:rPr/>
      </w:pPr>
      <w:r>
        <w:rPr/>
      </w:r>
    </w:p>
    <w:p>
      <w:pPr>
        <w:pStyle w:val="Nadpis1"/>
        <w:widowControl/>
        <w:numPr>
          <w:ilvl w:val="0"/>
          <w:numId w:val="0"/>
        </w:numPr>
        <w:suppressAutoHyphens w:val="true"/>
        <w:spacing w:lineRule="atLeast" w:line="200"/>
        <w:ind w:left="0" w:right="0" w:hanging="0"/>
        <w:jc w:val="left"/>
        <w:rPr/>
      </w:pPr>
      <w:r>
        <w:rPr/>
      </w:r>
      <w:r>
        <w:br w:type="page"/>
      </w:r>
    </w:p>
    <w:p>
      <w:pPr>
        <w:pStyle w:val="Nadpis1"/>
        <w:numPr>
          <w:ilvl w:val="0"/>
          <w:numId w:val="2"/>
        </w:numPr>
        <w:rPr/>
      </w:pPr>
      <w:bookmarkStart w:id="0" w:name="__RefHeading___Toc17592_1034045428"/>
      <w:bookmarkEnd w:id="0"/>
      <w:r>
        <w:rPr/>
        <w:t>Základní údaje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Účetní období: </w:t>
        <w:tab/>
        <w:t>1.1.2022 – 31.12.2022</w:t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Název:</w:t>
        <w:tab/>
        <w:tab/>
        <w:t>Organizace XYZ</w:t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Sídlo organizace: </w:t>
        <w:tab/>
        <w:t>adresa</w:t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Právní forma: </w:t>
        <w:tab/>
        <w:t>zapsaný spolek, ústav, nadace, církev,……….</w:t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Statutární orgán:</w:t>
        <w:tab/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Předseda: </w:t>
        <w:tab/>
        <w:tab/>
        <w:t>XXX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Místopředseda: </w:t>
        <w:tab/>
        <w:t>XXX</w:t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napToGrid w:val="false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Datum vzniku: registrační číslo, datum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Účel (poslání):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Hlavní činnost: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Vedlejší (hospodářská) činnost: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Kategorie účetní jednotky: 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Zakladatel (zřizovatel):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Vklad: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adpis1"/>
        <w:numPr>
          <w:ilvl w:val="0"/>
          <w:numId w:val="2"/>
        </w:numPr>
        <w:rPr/>
      </w:pPr>
      <w:bookmarkStart w:id="1" w:name="__RefHeading___Toc17594_1034045428"/>
      <w:bookmarkEnd w:id="1"/>
      <w:r>
        <w:rPr>
          <w:lang w:val="en-US"/>
        </w:rPr>
        <w:t>Obecn</w:t>
      </w:r>
      <w:r>
        <w:rPr/>
        <w:t>é účetní zásady</w:t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" w:name="__RefHeading___Toc17599_1034045428"/>
      <w:bookmarkEnd w:id="2"/>
      <w:r>
        <w:rPr/>
        <w:t>Dlouhodobý majetek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Organizace eviduje v dlouhodobém majetku všechny stavby a jejich technické zhodnocení bez ohledu na výši pořizovací ceny.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Organizace eviduje v dlouhodobém hmotném majetku hmotný majetek s dobou použitelnosti vyšší než 1 rok a s pořizovací cenou vyšší než 80.000 Kč, účtuje o něm na účtech dlouhodobého majetku a vykazuje ho v rozvaze.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Hmotný majetek v pořizovací ceně nižší než 80.000 Kč účtuje organizace do nákladů. Hmotný majetek v pořizovací ceně vyšší než 20.000 Kč, ale nižší než 80.000 Kč s dobou použitelnosti delší než 1 rok eviduje organizace v operativní evidenci. 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Organizace eviduje v dlouhodobém nehmotném majetku nehmotný majetek s dobou použitelnosti vyšší než 1 rok a s pořizovací cenou vyšší než 80.000 Kč.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Nehmotný majetek v pořizovací ceně nižší než 80 tis. Kč účtuje organizace do nákladů. Nehmotný majetek v pořizovací ceně vyšší než 20.000 Kč, ale nižší než 80.000 Kč s dobou použitelnosti delší než 1 rok eviduje organizace v operativní evidenci.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Úroky nejsou součástí pořizovací ceny dlouhodobého majetku.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rPr>
          <w:sz w:val="24"/>
        </w:rPr>
      </w:pPr>
      <w:r>
        <w:rPr>
          <w:sz w:val="24"/>
        </w:rPr>
        <w:t>Stavby organizace odepisuje 50 let.</w:t>
      </w:r>
    </w:p>
    <w:p>
      <w:pPr>
        <w:pStyle w:val="Zkladntextodsazen21"/>
        <w:spacing w:lineRule="atLeast" w:line="200"/>
        <w:ind w:left="0" w:right="0" w:hanging="0"/>
        <w:rPr>
          <w:sz w:val="24"/>
        </w:rPr>
      </w:pPr>
      <w:r>
        <w:rPr>
          <w:sz w:val="24"/>
        </w:rPr>
        <w:t>Automobily organizace odepisuje 10 let.</w:t>
      </w:r>
    </w:p>
    <w:p>
      <w:pPr>
        <w:pStyle w:val="Zkladntextodsazen21"/>
        <w:spacing w:lineRule="atLeast" w:line="200"/>
        <w:ind w:left="0" w:right="0" w:hanging="0"/>
        <w:rPr>
          <w:sz w:val="24"/>
        </w:rPr>
      </w:pPr>
      <w:r>
        <w:rPr>
          <w:sz w:val="24"/>
        </w:rPr>
        <w:t>Ostatní samostatné hmotné movité věci organizace odepisuje po dobu 5 let.</w:t>
      </w:r>
    </w:p>
    <w:p>
      <w:pPr>
        <w:pStyle w:val="Zkladntextodsazen21"/>
        <w:spacing w:lineRule="atLeast" w:line="20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3" w:name="__RefHeading___Toc17615_1034045428"/>
      <w:bookmarkEnd w:id="3"/>
      <w:r>
        <w:rPr/>
        <w:t>Cenné papíry a podíly</w:t>
      </w:r>
    </w:p>
    <w:p>
      <w:pPr>
        <w:pStyle w:val="Tlotextu"/>
        <w:rPr/>
      </w:pPr>
      <w:r>
        <w:rPr>
          <w:rFonts w:eastAsia="Arial"/>
        </w:rPr>
        <w:t xml:space="preserve">…… </w:t>
      </w:r>
      <w:r>
        <w:rPr/>
        <w:t>popsat detailně ocenění, evidované druhy, přeceňování na reálnou hodnotu,…..</w:t>
      </w:r>
    </w:p>
    <w:p>
      <w:pPr>
        <w:pStyle w:val="Tlotextu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4" w:name="__RefHeading___Toc17601_1034045428"/>
      <w:bookmarkEnd w:id="4"/>
      <w:r>
        <w:rPr/>
        <w:t>Zásoby</w:t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Organizace eviduje v zásobách pouze zboží – nakoupené publikace, které prodává na akcích. O zboží účtuje způsobem B. </w:t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5" w:name="__RefHeading___Toc17603_1034045428"/>
      <w:bookmarkEnd w:id="5"/>
      <w:r>
        <w:rPr/>
        <w:t>Pohledávky</w:t>
      </w:r>
    </w:p>
    <w:p>
      <w:pPr>
        <w:pStyle w:val="Tlotextu"/>
        <w:jc w:val="both"/>
        <w:rPr/>
      </w:pPr>
      <w:r>
        <w:rPr/>
        <w:t>Pohledávky se oceňují při svém vzniku jmenovitou hodnotou. Organizace běžně v </w:t>
      </w:r>
      <w:r>
        <w:rPr>
          <w:lang w:val="de-DE"/>
        </w:rPr>
        <w:t>souladu s vyhl</w:t>
      </w:r>
      <w:r>
        <w:rPr>
          <w:lang w:val="cs-CZ"/>
        </w:rPr>
        <w:t>áškou</w:t>
      </w:r>
      <w:r>
        <w:rPr/>
        <w:t xml:space="preserve"> netvoří opravné položky mimo opravných položek dle zákona o rezervách. O případně tvorbě opravné položky může rozhodnout ředitel organizace. </w:t>
      </w:r>
    </w:p>
    <w:p>
      <w:pPr>
        <w:pStyle w:val="Tlotextu"/>
        <w:jc w:val="both"/>
        <w:rPr/>
      </w:pPr>
      <w:r>
        <w:rPr/>
      </w:r>
    </w:p>
    <w:p>
      <w:pPr>
        <w:pStyle w:val="Tlotextu"/>
        <w:jc w:val="both"/>
        <w:rPr/>
      </w:pPr>
      <w:r>
        <w:rPr/>
        <w:t xml:space="preserve">Organizace účtuje o dohadných položkách aktivních v případě písemně přislíbených dotací na již proběhlé činnosti (promítnuté v nákladech), které však budou finančně přijaty až v dalším období. </w:t>
      </w:r>
    </w:p>
    <w:p>
      <w:pPr>
        <w:pStyle w:val="Tlotextu"/>
        <w:rPr/>
      </w:pPr>
      <w:r>
        <w:rPr/>
      </w:r>
    </w:p>
    <w:p>
      <w:pPr>
        <w:pStyle w:val="Zkladntextodsazen21"/>
        <w:spacing w:lineRule="atLeast" w:line="200"/>
        <w:ind w:left="0" w:right="0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6" w:name="__RefHeading___Toc17605_1034045428"/>
      <w:bookmarkEnd w:id="6"/>
      <w:r>
        <w:rPr/>
        <w:t>Cizoměnové transakce</w:t>
      </w:r>
    </w:p>
    <w:p>
      <w:pPr>
        <w:pStyle w:val="Tlotextu"/>
        <w:jc w:val="both"/>
        <w:rPr/>
      </w:pPr>
      <w:r>
        <w:rPr/>
        <w:t>Majetek a závazky pořízené v cizí měně se oceňují v českých korunách v kurzu platném ke dni jejich vzniku.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7" w:name="__RefHeading___Toc17607_1034045428"/>
      <w:bookmarkEnd w:id="7"/>
      <w:r>
        <w:rPr/>
        <w:t>Časové rozlišení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Organizace účtuje o nákladech příštích období. Prostřednictvím nákladů příštích období časově rozlišuje náklady, které souvisí s dalšími či dalšími obdobími. Organizace nerozlišuje náklady, které se každoročně opakují a náklady, které jsou svou částkou nevýznamné, tj. do výše 2.000 Kč.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8" w:name="__RefHeading___Toc17609_1034045428"/>
      <w:bookmarkEnd w:id="8"/>
      <w:r>
        <w:rPr/>
        <w:t>Bezúplatně nabytý dlouhodobý majetek, investiční dotace a dary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>Ve vlastním jmění na účtu skupiny 901 – Vlastní jmění organizace účtuje o zdrojích pořízení bezúplatně nabytého dlouhodobého majetku stejně tak jako o investičních dotacích nebo účelových investičních darech. Tato částka je pak rozpouštěna na účet skupiny 649 – Jiné ostatní výnosy současně s účtováním odpisů.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9" w:name="__RefHeading___Toc17611_1034045428"/>
      <w:bookmarkEnd w:id="9"/>
      <w:r>
        <w:rPr/>
        <w:t>Veřejná sbírka</w:t>
      </w:r>
    </w:p>
    <w:p>
      <w:pPr>
        <w:pStyle w:val="Zkladntextodsazen21"/>
        <w:spacing w:lineRule="atLeast" w:line="200"/>
        <w:ind w:left="0" w:right="0" w:hanging="0"/>
        <w:jc w:val="both"/>
        <w:rPr/>
      </w:pPr>
      <w:r>
        <w:rPr>
          <w:sz w:val="24"/>
        </w:rPr>
        <w:t xml:space="preserve">Ve fondech na </w:t>
      </w:r>
      <w:r>
        <w:rPr>
          <w:sz w:val="24"/>
          <w:lang w:val="cs-CZ"/>
        </w:rPr>
        <w:t xml:space="preserve">účtu 911 – Fond veřejné sbírky </w:t>
      </w:r>
      <w:r>
        <w:rPr>
          <w:sz w:val="24"/>
        </w:rPr>
        <w:t xml:space="preserve">organizace účtuje o zdrojích získaných z veřejné sbírky. Průběžně organizace účtuje o použití výtěžku veřejné sbírky podvojným zápisem na vrub fondu veřejné sbírky  ve prospěch účtu 682 – Přijaté dary. Organizace pro zúčtování fondu v tomto případě používá účet skupiny 68 místo účtu skupiny 64 z důvodu věrnějšího zobrazení skutečnosti ve výkazu zisku a ztráty (příjem do sbírky má charakter přijatých příspěvků - darů). Vykazovaný stav fondu veřejné sbírky odpovídá neutracené částce z veřejné sbírky určené pro další použití, tj. stavu sbírkového bankovního účtu k rozvahovému dni.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0" w:name="__RefHeading___Toc17613_1034045428"/>
      <w:bookmarkEnd w:id="10"/>
      <w:r>
        <w:rPr/>
        <w:t>Přijaté dary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Přijaté individuální dary účtuje organizace ke dni přijetí buď přímo ve prospěch výnosů na účet 682 – Přijaté dary (velmi specifický účel, je zřejmé jejich použití v daném účetním období) nebo ve prospěch fondu 911 – Fond darů na hlavní činnost a na vrub účtu 211 – Pokladna nebo 221 – Bankovní účet. Průběžně, popř. nejpozději k rozvahovému dni, organizace účtuje o použití darů z fondu podvojným zápisem na vrub fondu a ve prospěch účtu 682 – Přijaté dary. Organizace pro zúčtování fondu v tomto případě používá účet skupiny 68 místo účtu skupiny 64 z důvodu věrnějšího zobrazení skutečnosti ve výkazu zisku a ztráty (použití individuálních darů z fondu má charakter přijatých příspěvků - darů). Vykazovaný stav fondu individuálních darů odpovídá výši doposud neutracených darů. </w:t>
      </w:r>
    </w:p>
    <w:p>
      <w:pPr>
        <w:pStyle w:val="Zkladntextodsazen21"/>
        <w:spacing w:lineRule="atLeast" w:line="20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1" w:name="__RefHeading___Toc1258_4091125591"/>
      <w:bookmarkEnd w:id="11"/>
      <w:r>
        <w:rPr/>
        <w:t>Přijaté dotace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Přijaté dotace jsou prostředky poskytnuté z veřejných zdrojů, tedy zejména ze zdrojů státního rozpočtu, z rozpočtů územně samosprávných celků, ze zdrojů státních rozpočtů cizích států apod.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  <w:t xml:space="preserve">O těchto prostředcích účtuje organizace při přijetí na závazkových účtech skupiny 34, popřípadě rovnou ve výnosech na účtu 691 – Dotace. V případě, že není celá přijatá částka dotace do konce roku utracena, je zbylá částka vykázána jako závazek na účtu skupiny 34 – Závazky vůči státnímu rozpočtu. V případě, že je utraceno v rámci dotovaného projektu více než bylo zatím v rámci dotace přijato, účtuje organizace  dohadné položce na vrub účtu 388 – Dohadné položky ve prospěch účtu 691 – Dotace, tak aby výsledek hospodaření z dotace byl vždy nulový. </w:t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2" w:name="__RefHeading___Toc17617_1034045428"/>
      <w:bookmarkEnd w:id="12"/>
      <w:r>
        <w:rPr/>
        <w:t>Vlastní jmění, nadační kapitál,….</w:t>
      </w:r>
    </w:p>
    <w:p>
      <w:pPr>
        <w:pStyle w:val="Tlotextu"/>
        <w:rPr/>
      </w:pPr>
      <w:r>
        <w:rPr>
          <w:rFonts w:eastAsia="Arial"/>
        </w:rPr>
        <w:t>………</w:t>
      </w:r>
      <w:r>
        <w:rPr/>
        <w:t>.popsat co je ve vlastním jmění evidováno, u nadací uvést hodnotu zapsaného nadačního kapitálu, popsat nadační jistinu a uvést její tržní hodnotu………….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3" w:name="__RefHeading___Toc17619_1034045428"/>
      <w:bookmarkEnd w:id="13"/>
      <w:r>
        <w:rPr/>
        <w:t>Daň z příjmů</w:t>
      </w:r>
    </w:p>
    <w:p>
      <w:pPr>
        <w:pStyle w:val="Tlotextu"/>
        <w:jc w:val="both"/>
        <w:rPr/>
      </w:pPr>
      <w:r>
        <w:rPr/>
        <w:t xml:space="preserve">Organizace je veřejně prospěšným poplatníkem v souladu s §17a zákona č. 586/1992 Sb., o daních z příjmů, ve znění pozdějších předpisů (dále jen ZDP). </w:t>
      </w:r>
    </w:p>
    <w:p>
      <w:pPr>
        <w:pStyle w:val="Tlotextu"/>
        <w:jc w:val="both"/>
        <w:rPr/>
      </w:pPr>
      <w:r>
        <w:rPr/>
      </w:r>
    </w:p>
    <w:p>
      <w:pPr>
        <w:pStyle w:val="Tlotextu"/>
        <w:jc w:val="both"/>
        <w:rPr/>
      </w:pPr>
      <w:r>
        <w:rPr/>
        <w:t xml:space="preserve">Organizace uplatňuje osvobození darů podle §19b odst. 2 b) ZDP vždy když je to možné. 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Zkladntextodsazen21"/>
        <w:spacing w:lineRule="atLeast" w:line="200"/>
        <w:ind w:left="0" w:right="0" w:hanging="0"/>
        <w:jc w:val="both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Zkladntextodsazen21"/>
        <w:spacing w:lineRule="atLeast" w:line="200"/>
        <w:ind w:left="0" w:right="0" w:hanging="0"/>
        <w:jc w:val="both"/>
        <w:rPr>
          <w:b/>
          <w:b/>
          <w:bCs/>
          <w:sz w:val="24"/>
        </w:rPr>
      </w:pPr>
      <w:r>
        <w:rPr>
          <w:b/>
          <w:bCs/>
          <w:sz w:val="24"/>
        </w:rPr>
      </w:r>
      <w:r>
        <w:br w:type="page"/>
      </w:r>
    </w:p>
    <w:p>
      <w:pPr>
        <w:pStyle w:val="Nadpis1"/>
        <w:numPr>
          <w:ilvl w:val="0"/>
          <w:numId w:val="2"/>
        </w:numPr>
        <w:rPr/>
      </w:pPr>
      <w:bookmarkStart w:id="14" w:name="__RefHeading___Toc17596_1034045428"/>
      <w:bookmarkEnd w:id="14"/>
      <w:r>
        <w:rPr/>
        <w:t>Doplňující údaje k výkazům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5" w:name="__RefHeading___Toc17639_1034045428"/>
      <w:bookmarkEnd w:id="15"/>
      <w:r>
        <w:rPr/>
        <w:t>Dlouhodobý majetek</w:t>
      </w:r>
    </w:p>
    <w:p>
      <w:pPr>
        <w:pStyle w:val="Tlotextu"/>
        <w:rPr/>
      </w:pPr>
      <w:r>
        <w:rPr/>
        <w:t>Přehled dlouhodobého majetku je uveden v příloze č. 1.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6" w:name="__RefHeading___Toc17641_1034045428"/>
      <w:bookmarkEnd w:id="16"/>
      <w:r>
        <w:rPr/>
        <w:t>Podíly, podílové listy, dluhopisy, akcie</w:t>
      </w:r>
    </w:p>
    <w:p>
      <w:pPr>
        <w:pStyle w:val="Tlotextu"/>
        <w:rPr/>
      </w:pPr>
      <w:r>
        <w:rPr>
          <w:b w:val="false"/>
          <w:bCs w:val="false"/>
        </w:rPr>
        <w:t xml:space="preserve">Organizace </w:t>
      </w:r>
      <w:r>
        <w:rPr>
          <w:b w:val="false"/>
          <w:bCs w:val="false"/>
          <w:lang w:val="cs-CZ"/>
        </w:rPr>
        <w:t>je společníkem s neomezeným ručením v následujících subjektech:</w:t>
      </w:r>
    </w:p>
    <w:p>
      <w:pPr>
        <w:pStyle w:val="Tlotextu"/>
        <w:numPr>
          <w:ilvl w:val="0"/>
          <w:numId w:val="3"/>
        </w:numPr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  <w:t>název, sídlo, právní forma</w:t>
      </w:r>
    </w:p>
    <w:p>
      <w:pPr>
        <w:pStyle w:val="Tlotextu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lotextu"/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  <w:t>Organizace drží následující podíly, podílové listy, dluhopisy, akcie….:</w:t>
      </w:r>
    </w:p>
    <w:p>
      <w:pPr>
        <w:pStyle w:val="Tlotextu"/>
        <w:numPr>
          <w:ilvl w:val="0"/>
          <w:numId w:val="4"/>
        </w:numPr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  <w:t>výše podílu, výše základního kapitálu, vlastního jmění a zisku nebo ztráty subjektu za dané období</w:t>
      </w:r>
    </w:p>
    <w:p>
      <w:pPr>
        <w:pStyle w:val="Tlotextu"/>
        <w:numPr>
          <w:ilvl w:val="0"/>
          <w:numId w:val="4"/>
        </w:numPr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  <w:t>druh a počet kusů cenných papírů, jmenovitá hodnota, tržní hodnota</w:t>
      </w:r>
    </w:p>
    <w:p>
      <w:pPr>
        <w:pStyle w:val="Tlotextu"/>
        <w:rPr>
          <w:b/>
          <w:b/>
          <w:bCs/>
        </w:rPr>
      </w:pPr>
      <w:r>
        <w:rPr>
          <w:b/>
          <w:bCs/>
        </w:rPr>
      </w:r>
    </w:p>
    <w:p>
      <w:pPr>
        <w:pStyle w:val="Tlotextu"/>
        <w:rPr>
          <w:b/>
          <w:b/>
          <w:bCs/>
        </w:rPr>
      </w:pPr>
      <w:r>
        <w:rPr>
          <w:b/>
          <w:bCs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7" w:name="__RefHeading___Toc17621_1034045428"/>
      <w:bookmarkEnd w:id="17"/>
      <w:r>
        <w:rPr/>
        <w:t>Dluhy po splatnosti z titulu daní, sociálního či zdravotního pojištění</w:t>
      </w:r>
    </w:p>
    <w:p>
      <w:pPr>
        <w:pStyle w:val="Tlotextu"/>
        <w:jc w:val="both"/>
        <w:rPr/>
      </w:pPr>
      <w:r>
        <w:rPr/>
        <w:t xml:space="preserve">Organizace žádné takové dluhy neeviduje. </w:t>
      </w:r>
    </w:p>
    <w:p>
      <w:pPr>
        <w:pStyle w:val="Tlotextu"/>
        <w:rPr>
          <w:b/>
          <w:b/>
          <w:bCs/>
        </w:rPr>
      </w:pPr>
      <w:r>
        <w:rPr>
          <w:b/>
          <w:bCs/>
        </w:rPr>
      </w:r>
    </w:p>
    <w:p>
      <w:pPr>
        <w:pStyle w:val="Tlotextu"/>
        <w:rPr>
          <w:b/>
          <w:b/>
          <w:bCs/>
        </w:rPr>
      </w:pPr>
      <w:r>
        <w:rPr>
          <w:b/>
          <w:bCs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8" w:name="__RefHeading___Toc17623_1034045428"/>
      <w:bookmarkEnd w:id="18"/>
      <w:r>
        <w:rPr/>
        <w:t>Dlouhodobé závazky</w:t>
      </w:r>
    </w:p>
    <w:p>
      <w:pPr>
        <w:pStyle w:val="Tlotextu"/>
        <w:jc w:val="both"/>
        <w:rPr/>
      </w:pPr>
      <w:r>
        <w:rPr/>
        <w:t xml:space="preserve">Organizace neeviduje žádné dlouhodobé závazky se splatností delší než 5 let od rozvahového dne. </w:t>
      </w:r>
    </w:p>
    <w:p>
      <w:pPr>
        <w:pStyle w:val="Tlotextu"/>
        <w:rPr/>
      </w:pPr>
      <w:r>
        <w:rPr/>
      </w:r>
    </w:p>
    <w:p>
      <w:pPr>
        <w:pStyle w:val="Normal"/>
        <w:spacing w:lineRule="atLeast" w:line="20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19" w:name="__RefHeading___Toc17625_1034045428"/>
      <w:bookmarkEnd w:id="19"/>
      <w:r>
        <w:rPr/>
        <w:t>Majetek neuvedený v rozvaze</w:t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Kromě drobného majetku v zanedbatelné hodnotě neeviduje organizace žádný majetek neuvedený v rozvaze.</w:t>
      </w:r>
    </w:p>
    <w:p>
      <w:pPr>
        <w:pStyle w:val="Normal"/>
        <w:spacing w:lineRule="atLeast" w:line="20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spacing w:lineRule="atLeast" w:line="20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0" w:name="__RefHeading___Toc17643_1034045428"/>
      <w:bookmarkEnd w:id="20"/>
      <w:r>
        <w:rPr/>
        <w:t>Závazky nevykázané v rozvaze</w:t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Organizace neeviduje žádné závazky, které by k rozvahovému dni nebyly vykázány v rozvaze. 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1" w:name="__RefHeading___Toc17645_1034045428"/>
      <w:bookmarkEnd w:id="21"/>
      <w:r>
        <w:rPr/>
        <w:t>Osobní náklady</w:t>
      </w:r>
    </w:p>
    <w:p>
      <w:pPr>
        <w:pStyle w:val="Tlotextu"/>
        <w:keepNext w:val="true"/>
        <w:rPr>
          <w:szCs w:val="24"/>
        </w:rPr>
      </w:pPr>
      <w:r>
        <w:rPr>
          <w:szCs w:val="24"/>
        </w:rPr>
        <w:t xml:space="preserve">Průměrný počet zaměstnanců </w:t>
      </w:r>
    </w:p>
    <w:p>
      <w:pPr>
        <w:pStyle w:val="Tlotextu"/>
        <w:keepNext w:val="true"/>
        <w:rPr>
          <w:szCs w:val="24"/>
        </w:rPr>
      </w:pPr>
      <w:r>
        <w:rPr>
          <w:szCs w:val="24"/>
        </w:rPr>
      </w:r>
    </w:p>
    <w:tbl>
      <w:tblPr>
        <w:tblW w:w="9079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14"/>
        <w:gridCol w:w="4564"/>
      </w:tblGrid>
      <w:tr>
        <w:trPr/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keepNext w:val="true"/>
              <w:widowControl w:val="false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Průměrný počet zaměstnanců v roce 2022</w:t>
            </w:r>
          </w:p>
        </w:tc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Průměrný počet zaměstnanců v roce 2021</w:t>
            </w:r>
          </w:p>
        </w:tc>
      </w:tr>
      <w:tr>
        <w:trPr/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keepNext w:val="true"/>
        <w:spacing w:before="0" w:after="113"/>
        <w:jc w:val="both"/>
        <w:rPr>
          <w:rFonts w:ascii="Arial" w:hAnsi="Arial" w:cs="Arial"/>
          <w:sz w:val="24"/>
          <w:szCs w:val="24"/>
          <w:lang w:eastAsia="zxx" w:bidi="zxx"/>
        </w:rPr>
      </w:pPr>
      <w:r>
        <w:rPr>
          <w:rFonts w:cs="Arial" w:ascii="Arial" w:hAnsi="Arial"/>
          <w:sz w:val="24"/>
          <w:szCs w:val="24"/>
          <w:lang w:eastAsia="zxx" w:bidi="zxx"/>
        </w:rPr>
        <w:t>z toho členů řídících orgánů</w:t>
      </w:r>
    </w:p>
    <w:tbl>
      <w:tblPr>
        <w:tblW w:w="9094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29"/>
        <w:gridCol w:w="4564"/>
      </w:tblGrid>
      <w:tr>
        <w:trPr/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keepNext w:val="true"/>
              <w:widowControl w:val="false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Průměrný počet řídících pracovníků v roce 2022</w:t>
            </w:r>
          </w:p>
        </w:tc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Průměrný počet řídících pracovníků v roce 2021</w:t>
            </w:r>
          </w:p>
        </w:tc>
      </w:tr>
      <w:tr>
        <w:trPr/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Tlotextu"/>
        <w:rPr>
          <w:szCs w:val="24"/>
        </w:rPr>
      </w:pPr>
      <w:r>
        <w:rPr>
          <w:szCs w:val="24"/>
        </w:rPr>
        <w:t>Osobní náklady na zaměstnance, z toho na členy řídících orgánů</w:t>
      </w:r>
    </w:p>
    <w:p>
      <w:pPr>
        <w:pStyle w:val="Tlotextu"/>
        <w:rPr>
          <w:szCs w:val="24"/>
        </w:rPr>
      </w:pPr>
      <w:r>
        <w:rPr>
          <w:szCs w:val="24"/>
        </w:rPr>
      </w:r>
    </w:p>
    <w:tbl>
      <w:tblPr>
        <w:tblW w:w="9094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45"/>
        <w:gridCol w:w="1580"/>
        <w:gridCol w:w="1806"/>
        <w:gridCol w:w="1506"/>
        <w:gridCol w:w="1757"/>
      </w:tblGrid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keepNext w:val="true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keepNext w:val="true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2022 v tis. Kč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2021 v tis. Kč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keepNext w:val="true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keepNext w:val="true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Osobní náklady na zaměstnance 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Osobní náklady na členy řídících orgánů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Osobní náklady na zaměstnance 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Osobní náklady na členy řídících orgánů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cs="Arial" w:ascii="Arial" w:hAnsi="Arial"/>
                <w:sz w:val="20"/>
                <w:szCs w:val="20"/>
                <w:lang w:val="cs-CZ"/>
              </w:rPr>
              <w:t>Mzdové náklady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cs="Arial" w:ascii="Arial" w:hAnsi="Arial"/>
                <w:sz w:val="20"/>
                <w:szCs w:val="20"/>
                <w:lang w:val="cs-CZ"/>
              </w:rPr>
              <w:t>Zákonné sociální pojištění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cs="Arial" w:ascii="Arial" w:hAnsi="Arial"/>
                <w:sz w:val="20"/>
                <w:szCs w:val="20"/>
                <w:lang w:val="cs-CZ"/>
              </w:rPr>
              <w:t>Ostatní sociální pojištění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cs="Arial" w:ascii="Arial" w:hAnsi="Arial"/>
                <w:sz w:val="20"/>
                <w:szCs w:val="20"/>
                <w:lang w:val="cs-CZ"/>
              </w:rPr>
              <w:t>Zákonné sociální náklady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cs="Arial" w:ascii="Arial" w:hAnsi="Arial"/>
                <w:sz w:val="20"/>
                <w:szCs w:val="20"/>
                <w:lang w:val="cs-CZ"/>
              </w:rPr>
              <w:t>Ostatní sociální náklady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Tlotextu"/>
        <w:rPr/>
      </w:pPr>
      <w:r>
        <w:rPr/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Členům orgánů v roce 2022 nebyly poskytnuty žádné odměny ani funkční požitky, nebyly jim poskytnuty ani žádné půjčky, úvěry, záruky či jiná plnění.</w:t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Členové orgánů nemají žádnou účast v osobách, s nimiž organizace v roce 2022 uzavřela smluvní vztahy.</w:t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2" w:name="__RefHeading___Toc17633_1034045428"/>
      <w:bookmarkEnd w:id="22"/>
      <w:r>
        <w:rPr/>
        <w:t>Odměna přijatá statutárním auditorem</w:t>
      </w:r>
    </w:p>
    <w:p>
      <w:pPr>
        <w:pStyle w:val="Tlotextu"/>
        <w:rPr/>
      </w:pPr>
      <w:r>
        <w:rPr/>
        <w:t>Organizace povinnosti auditu účetní závěrky nepodléhá.</w:t>
      </w:r>
    </w:p>
    <w:p>
      <w:pPr>
        <w:pStyle w:val="Nadpis2"/>
        <w:numPr>
          <w:ilvl w:val="0"/>
          <w:numId w:val="0"/>
        </w:numPr>
        <w:ind w:left="576" w:right="0" w:hanging="0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3" w:name="__RefHeading___Toc17635_1034045428"/>
      <w:bookmarkEnd w:id="23"/>
      <w:r>
        <w:rPr/>
        <w:t>Náklady a výnosy mimořádné svým objemem nebo původem</w:t>
      </w:r>
    </w:p>
    <w:p>
      <w:pPr>
        <w:pStyle w:val="Tlotextu"/>
        <w:rPr/>
      </w:pPr>
      <w:r>
        <w:rPr/>
        <w:t>V roce 2022 nevykazuje organizace žádné náklady nebo výnosy, které by byly mimořádné svým původem nebo objemem.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4" w:name="__RefHeading___Toc17637_1034045428"/>
      <w:bookmarkEnd w:id="24"/>
      <w:r>
        <w:rPr/>
        <w:t>Zástavy a ručení</w:t>
      </w:r>
    </w:p>
    <w:p>
      <w:pPr>
        <w:pStyle w:val="Tlotextu"/>
        <w:rPr/>
      </w:pPr>
      <w:r>
        <w:rPr/>
        <w:t>Majetek organizace není zatížen žádným zástavním právem.</w:t>
      </w:r>
    </w:p>
    <w:p>
      <w:pPr>
        <w:pStyle w:val="Tlotextu"/>
        <w:rPr/>
      </w:pPr>
      <w:r>
        <w:rPr/>
        <w:t>Organizace neposkytla ani nepřijala žádná ručení.</w:t>
      </w:r>
    </w:p>
    <w:p>
      <w:pPr>
        <w:pStyle w:val="Tlotextu"/>
        <w:rPr/>
      </w:pPr>
      <w:r>
        <w:rPr/>
      </w:r>
    </w:p>
    <w:p>
      <w:pPr>
        <w:pStyle w:val="Normal"/>
        <w:spacing w:lineRule="atLeast" w:line="200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>
          <w:rFonts w:cs="Arial"/>
          <w:b/>
          <w:b/>
          <w:bCs/>
          <w:sz w:val="24"/>
        </w:rPr>
      </w:pPr>
      <w:bookmarkStart w:id="25" w:name="__RefHeading___Toc17647_1034045428"/>
      <w:bookmarkEnd w:id="25"/>
      <w:r>
        <w:rPr>
          <w:rFonts w:cs="Arial"/>
          <w:b/>
          <w:bCs/>
          <w:sz w:val="24"/>
        </w:rPr>
        <w:t>Přijaté dotace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 roce 2022 byly přijaty následující dotace: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6769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34"/>
        <w:gridCol w:w="2234"/>
      </w:tblGrid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Částka</w:t>
            </w:r>
          </w:p>
        </w:tc>
      </w:tr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cs="Arial" w:ascii="Arial" w:hAnsi="Arial"/>
                <w:sz w:val="24"/>
                <w:szCs w:val="24"/>
                <w:lang w:val="cs-CZ"/>
              </w:rPr>
              <w:t>X</w:t>
            </w:r>
          </w:p>
        </w:tc>
      </w:tr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cs="Arial" w:ascii="Arial" w:hAnsi="Arial"/>
                <w:sz w:val="24"/>
                <w:szCs w:val="24"/>
                <w:lang w:val="cs-CZ"/>
              </w:rPr>
              <w:t>X</w:t>
            </w:r>
          </w:p>
        </w:tc>
      </w:tr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cs="Arial" w:ascii="Arial" w:hAnsi="Arial"/>
                <w:sz w:val="24"/>
                <w:szCs w:val="24"/>
                <w:lang w:val="cs-CZ"/>
              </w:rPr>
              <w:t>X</w:t>
            </w:r>
          </w:p>
        </w:tc>
      </w:tr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cs="Arial" w:ascii="Arial" w:hAnsi="Arial"/>
                <w:sz w:val="24"/>
                <w:szCs w:val="24"/>
                <w:lang w:val="cs-CZ"/>
              </w:rPr>
              <w:t>X</w:t>
            </w:r>
          </w:p>
        </w:tc>
      </w:tr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widowControl w:val="false"/>
              <w:snapToGrid w:val="fals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XXX</w:t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Všechny výše uvedené dotace byly plně vyčerpány.</w:t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cs="Arial"/>
          <w:b/>
          <w:b/>
          <w:bCs/>
          <w:sz w:val="24"/>
        </w:rPr>
      </w:pPr>
      <w:r>
        <w:rPr>
          <w:rFonts w:cs="Arial"/>
          <w:b/>
          <w:bCs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>
          <w:rFonts w:cs="Arial"/>
          <w:b/>
          <w:b/>
          <w:bCs/>
          <w:sz w:val="24"/>
        </w:rPr>
      </w:pPr>
      <w:bookmarkStart w:id="26" w:name="__RefHeading___Toc1260_4091125591"/>
      <w:bookmarkEnd w:id="26"/>
      <w:r>
        <w:rPr>
          <w:rFonts w:cs="Arial"/>
          <w:b/>
          <w:bCs/>
          <w:sz w:val="24"/>
        </w:rPr>
        <w:t>Přijaté dary</w:t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4"/>
          <w:szCs w:val="24"/>
        </w:rPr>
        <w:t xml:space="preserve">V roce 2022 byly přijaty následující dary </w:t>
      </w:r>
      <w:r>
        <w:rPr>
          <w:rFonts w:cs="Arial" w:ascii="Arial" w:hAnsi="Arial"/>
          <w:sz w:val="24"/>
          <w:szCs w:val="24"/>
          <w:lang w:val="en-US"/>
        </w:rPr>
        <w:t>(</w:t>
      </w:r>
      <w:r>
        <w:rPr>
          <w:rFonts w:cs="Arial" w:ascii="Arial" w:hAnsi="Arial"/>
          <w:sz w:val="24"/>
          <w:szCs w:val="24"/>
          <w:lang w:val="cs-CZ"/>
        </w:rPr>
        <w:t xml:space="preserve">jednotlivě </w:t>
      </w:r>
      <w:r>
        <w:rPr>
          <w:rFonts w:cs="Arial" w:ascii="Arial" w:hAnsi="Arial"/>
          <w:sz w:val="24"/>
          <w:szCs w:val="24"/>
        </w:rPr>
        <w:t>uvedeny významné dary, tj. dary v částce nad 10 000 Kč, ostatní jsou uvedeny souhrnně</w:t>
      </w:r>
      <w:r>
        <w:rPr>
          <w:rFonts w:cs="Arial" w:ascii="Arial" w:hAnsi="Arial"/>
          <w:sz w:val="24"/>
          <w:szCs w:val="24"/>
          <w:lang w:val="en-US"/>
        </w:rPr>
        <w:t>):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215" w:type="dxa"/>
        <w:jc w:val="left"/>
        <w:tblInd w:w="-42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39"/>
        <w:gridCol w:w="1338"/>
        <w:gridCol w:w="4238"/>
      </w:tblGrid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Poskytovatel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Částka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Komentář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Nepeněžní dar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Nepeněžní dar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Nepeněžní dar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Nepeněžní dar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Dárce si přál zachovat anonymitu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 výše uvedených darů organizace v roce 2022 využila dary ve výši X Kč.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Současně organizace v roce 2022 využila dary z předchozích let, a to v celkové výši X Kč. 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7" w:name="__RefHeading___Toc6410_3590462016"/>
      <w:bookmarkEnd w:id="27"/>
      <w:r>
        <w:rPr/>
        <w:t>Poskytnuté dary</w:t>
      </w:r>
    </w:p>
    <w:p>
      <w:pPr>
        <w:pStyle w:val="Tlotextu"/>
        <w:jc w:val="both"/>
        <w:rPr/>
      </w:pPr>
      <w:r>
        <w:rPr/>
        <w:t>Organizace poskytla v účetní období dary několika fyzickým a právnickým osobám na podporu vzdělávání. Významné dary ve výši nad 5.000 Kč jsou uvedeny v následující tabulce:</w:t>
      </w:r>
    </w:p>
    <w:p>
      <w:pPr>
        <w:pStyle w:val="Tlotextu"/>
        <w:rPr/>
      </w:pPr>
      <w:r>
        <w:rPr/>
      </w:r>
    </w:p>
    <w:tbl>
      <w:tblPr>
        <w:tblW w:w="9215" w:type="dxa"/>
        <w:jc w:val="left"/>
        <w:tblInd w:w="-42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39"/>
        <w:gridCol w:w="1338"/>
        <w:gridCol w:w="4238"/>
      </w:tblGrid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Příjemce daru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Částka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Komentář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Nepeněžní dar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Nepeněžní dar</w:t>
            </w:r>
          </w:p>
        </w:tc>
      </w:tr>
      <w:tr>
        <w:trPr/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X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rPr/>
            </w:pPr>
            <w:r>
              <w:rPr/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 xml:space="preserve">Kromě výše uvedených darů poskytla organizace ještě drobnější dary v celkové výši 12.000 Kč. </w:t>
      </w:r>
    </w:p>
    <w:p>
      <w:pPr>
        <w:pStyle w:val="Tlotextu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8" w:name="__RefHeading___Toc17649_1034045428"/>
      <w:bookmarkEnd w:id="28"/>
      <w:r>
        <w:rPr/>
        <w:t>Veřejná sbírka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Organizace měla v roce 2022 povolení pořádat jednu veřejnou sbírku: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Číslo jednací a datum rozhodnutí: 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Číslo sbírkového účtu: 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Osoba oprávněná jednat ve věci sbírky: </w:t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Datum zahájení sbírky: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Datum ukončení sbírky: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Účel sbírky</w:t>
      </w:r>
    </w:p>
    <w:p>
      <w:pPr>
        <w:pStyle w:val="Normal"/>
        <w:suppressAutoHyphens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popis účelu.....</w:t>
      </w:r>
    </w:p>
    <w:p>
      <w:pPr>
        <w:pStyle w:val="Normal"/>
        <w:spacing w:lineRule="atLeast" w:line="20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spacing w:lineRule="atLeast" w:line="20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  <w:t>Výnos sbírky v roce 2022</w:t>
      </w:r>
    </w:p>
    <w:p>
      <w:pPr>
        <w:pStyle w:val="Normal"/>
        <w:spacing w:lineRule="atLeast" w:line="200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 xml:space="preserve">Hrubý výtěžek sbírky: </w:t>
      </w:r>
    </w:p>
    <w:p>
      <w:pPr>
        <w:pStyle w:val="Normal"/>
        <w:spacing w:lineRule="atLeast" w:line="200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 xml:space="preserve">Čistý výtěžek sbírky: </w:t>
      </w:r>
    </w:p>
    <w:p>
      <w:pPr>
        <w:pStyle w:val="Normal"/>
        <w:spacing w:lineRule="atLeast" w:line="200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 xml:space="preserve">V roce 2022 využito: </w:t>
      </w:r>
    </w:p>
    <w:p>
      <w:pPr>
        <w:pStyle w:val="Normal"/>
        <w:spacing w:lineRule="atLeast" w:line="200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 xml:space="preserve">K dalšímu použití: </w:t>
      </w:r>
    </w:p>
    <w:p>
      <w:pPr>
        <w:pStyle w:val="Normal"/>
        <w:spacing w:lineRule="atLeast" w:line="200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spacing w:lineRule="atLeast" w:line="200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Částka k dalšímu použití je uložena na sbírkovém účtě a evidována ve zvláštním fondu ve vlastních zdrojích organizace.</w:t>
      </w:r>
    </w:p>
    <w:p>
      <w:pPr>
        <w:pStyle w:val="Normal"/>
        <w:spacing w:lineRule="atLeast" w:line="200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spacing w:lineRule="atLeast" w:line="200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29" w:name="__RefHeading___Toc17631_1034045428"/>
      <w:bookmarkEnd w:id="29"/>
      <w:r>
        <w:rPr/>
        <w:t>Výsledek hospodaření a daň z příjmu</w:t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Výsledek hospodaření za rok 2021 byl převeden do nerozděleného zisku minulých let.</w:t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4"/>
        </w:rPr>
        <w:t>Za rok 2022 organizace vykazuje zisk ve výši X</w:t>
      </w:r>
      <w:r>
        <w:rPr>
          <w:rFonts w:cs="Arial" w:ascii="Arial" w:hAnsi="Arial"/>
          <w:sz w:val="24"/>
          <w:lang w:val="en-US"/>
        </w:rPr>
        <w:t xml:space="preserve"> </w:t>
      </w:r>
      <w:r>
        <w:rPr>
          <w:rFonts w:cs="Arial" w:ascii="Arial" w:hAnsi="Arial"/>
          <w:sz w:val="24"/>
        </w:rPr>
        <w:t>Kč. Základ daně z příjmu před snížením základu daně dle §20 odst. 7 ZDP ve výši X Kč byl zjištěn následovně:</w:t>
      </w:r>
    </w:p>
    <w:p>
      <w:pPr>
        <w:pStyle w:val="Normal"/>
        <w:spacing w:lineRule="atLeast" w:line="200"/>
        <w:jc w:val="both"/>
        <w:rPr/>
      </w:pPr>
      <w:r>
        <w:rPr>
          <w:rFonts w:eastAsia="Arial" w:cs="Arial" w:ascii="Arial" w:hAnsi="Arial"/>
          <w:sz w:val="24"/>
        </w:rPr>
        <w:t>…</w:t>
      </w:r>
      <w:r>
        <w:rPr>
          <w:rFonts w:cs="Arial" w:ascii="Arial" w:hAnsi="Arial"/>
          <w:sz w:val="24"/>
        </w:rPr>
        <w:t>....</w:t>
      </w:r>
    </w:p>
    <w:p>
      <w:pPr>
        <w:pStyle w:val="Normal"/>
        <w:spacing w:lineRule="atLeast" w:line="200"/>
        <w:jc w:val="both"/>
        <w:rPr/>
      </w:pPr>
      <w:r>
        <w:rPr/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4"/>
          <w:lang w:val="cs-CZ"/>
        </w:rPr>
        <w:t xml:space="preserve">Základ daně byl </w:t>
      </w:r>
      <w:r>
        <w:rPr>
          <w:rFonts w:cs="Arial" w:ascii="Arial" w:hAnsi="Arial"/>
          <w:sz w:val="24"/>
          <w:lang w:val="en-US"/>
        </w:rPr>
        <w:t xml:space="preserve">zaokrouhlen a </w:t>
      </w:r>
      <w:r>
        <w:rPr>
          <w:rFonts w:cs="Arial" w:ascii="Arial" w:hAnsi="Arial"/>
          <w:sz w:val="24"/>
        </w:rPr>
        <w:t>snížen na 0 Kč uplatněním snížení základu daně v souladu s §20 odst. 7 ZDP.</w:t>
      </w:r>
    </w:p>
    <w:p>
      <w:pPr>
        <w:pStyle w:val="Normal"/>
        <w:spacing w:lineRule="atLeast" w:line="200"/>
        <w:jc w:val="both"/>
        <w:rPr/>
      </w:pPr>
      <w:r>
        <w:rPr/>
      </w:r>
    </w:p>
    <w:p>
      <w:pPr>
        <w:pStyle w:val="Normal"/>
        <w:spacing w:lineRule="atLeast" w:line="20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Daňová úspora získaná v minulých letech byla v roce 2022 použita následovně:</w:t>
      </w:r>
    </w:p>
    <w:p>
      <w:pPr>
        <w:pStyle w:val="Normal"/>
        <w:spacing w:lineRule="atLeast" w:line="200"/>
        <w:rPr/>
      </w:pPr>
      <w:r>
        <w:rPr>
          <w:rFonts w:eastAsia="Arial" w:cs="Arial" w:ascii="Arial" w:hAnsi="Arial"/>
          <w:sz w:val="24"/>
        </w:rPr>
        <w:t>…</w:t>
      </w:r>
      <w:r>
        <w:rPr>
          <w:rFonts w:cs="Arial" w:ascii="Arial" w:hAnsi="Arial"/>
          <w:sz w:val="24"/>
        </w:rPr>
        <w:t>..</w:t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tLeast" w:line="200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adpis2"/>
        <w:numPr>
          <w:ilvl w:val="1"/>
          <w:numId w:val="2"/>
        </w:numPr>
        <w:ind w:left="0" w:right="0" w:hanging="0"/>
        <w:rPr/>
      </w:pPr>
      <w:bookmarkStart w:id="30" w:name="__RefHeading___Toc17651_1034045428"/>
      <w:bookmarkEnd w:id="30"/>
      <w:r>
        <w:rPr/>
        <w:t>Významné události mezi rozvahovým dnem a okamžikem sestavení účetní závěrky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0" w:right="0" w:hanging="0"/>
        <w:contextualSpacing/>
        <w:jc w:val="both"/>
        <w:rPr>
          <w:rFonts w:ascii="Arial" w:hAnsi="Arial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>Počátkem roku 2022 byla vyhlášena omezující opatření v souvislosti s nákazou COVID-19 a existuje určitý předpoklad, že zejména v podzimním a zimním období, kdy se může nákaza opět více šířit, vstoupí další opatření v platnost. V únoru 2022 došlo k invazi ruských vojsk na Ukrajinu a tento válečný konflikt stále trvá. Již v současnosti tento konflikt různou mírou dopadá na činnosti firem a organizací v evropských zemích a lze očekávat další dopady.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0" w:right="0" w:hanging="0"/>
        <w:contextualSpacing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 xml:space="preserve">Situace se neustále vyvíjí a vedení </w:t>
      </w:r>
      <w:r>
        <w:rPr>
          <w:rFonts w:eastAsia="Times New Roman" w:cs="Arial" w:ascii="Arial" w:hAnsi="Arial"/>
          <w:i w:val="false"/>
          <w:iCs w:val="false"/>
          <w:color w:val="000000"/>
          <w:sz w:val="24"/>
          <w:szCs w:val="20"/>
          <w:lang w:val="sk-SK" w:eastAsia="en-US" w:bidi="ar-SA"/>
        </w:rPr>
        <w:t>organizace</w:t>
      </w: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 xml:space="preserve"> není v současné době schopné spolehlivě kvantifikovat potenciální dopady těchto událostí na </w:t>
      </w:r>
      <w:r>
        <w:rPr>
          <w:rFonts w:eastAsia="Times New Roman" w:cs="Arial" w:ascii="Arial" w:hAnsi="Arial"/>
          <w:i w:val="false"/>
          <w:iCs w:val="false"/>
          <w:color w:val="000000"/>
          <w:sz w:val="24"/>
          <w:szCs w:val="20"/>
          <w:lang w:val="sk-SK" w:eastAsia="en-US" w:bidi="ar-SA"/>
        </w:rPr>
        <w:t>organizaci</w:t>
      </w: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 xml:space="preserve"> v </w:t>
      </w:r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4"/>
          <w:szCs w:val="20"/>
          <w:lang w:val="cs-CZ" w:eastAsia="zh-CN" w:bidi="ar-SA"/>
        </w:rPr>
        <w:t>dalším období</w:t>
      </w: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 xml:space="preserve">. Vedení organizace zvážilo možné dopady do účetní závěrky za rok 2022 a dospělo k závěru, že žádné úpravy v souvislosti s těmito událostmi nejsou třeba. </w:t>
      </w:r>
      <w:r>
        <w:rPr>
          <w:rFonts w:eastAsia="Times New Roman" w:cs="Arial" w:ascii="Arial" w:hAnsi="Arial"/>
          <w:i w:val="false"/>
          <w:iCs w:val="false"/>
          <w:color w:val="000000"/>
          <w:sz w:val="24"/>
          <w:szCs w:val="24"/>
          <w:lang w:val="cs-CZ" w:eastAsia="zh-CN" w:bidi="ar-SA"/>
        </w:rPr>
        <w:t>V</w:t>
      </w: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 xml:space="preserve">edení </w:t>
      </w:r>
      <w:r>
        <w:rPr>
          <w:rFonts w:eastAsia="Times New Roman" w:cs="Arial" w:ascii="Arial" w:hAnsi="Arial"/>
          <w:i w:val="false"/>
          <w:iCs w:val="false"/>
          <w:color w:val="000000"/>
          <w:sz w:val="24"/>
          <w:szCs w:val="20"/>
          <w:lang w:val="sk-SK" w:eastAsia="en-US" w:bidi="ar-SA"/>
        </w:rPr>
        <w:t>organizace</w:t>
      </w: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 xml:space="preserve"> uvážilo i možné dopady na své další aktivity a dospělo k závěru, že nemají významný vliv na předpoklad nepřetržitého trvání. Vzhledem k tomu byla účetní závěrka k 31. 12. 2022 zpracována za předpokladu, že </w:t>
      </w:r>
      <w:r>
        <w:rPr>
          <w:rFonts w:eastAsia="Times New Roman" w:cs="Arial" w:ascii="Arial" w:hAnsi="Arial"/>
          <w:i w:val="false"/>
          <w:iCs w:val="false"/>
          <w:color w:val="000000"/>
          <w:sz w:val="24"/>
          <w:szCs w:val="20"/>
          <w:lang w:val="sk-SK" w:eastAsia="en-US" w:bidi="ar-SA"/>
        </w:rPr>
        <w:t>organizace</w:t>
      </w:r>
      <w:r>
        <w:rPr>
          <w:rFonts w:cs="Arial" w:ascii="Arial" w:hAnsi="Arial"/>
          <w:i w:val="false"/>
          <w:iCs w:val="false"/>
          <w:color w:val="000000"/>
          <w:sz w:val="24"/>
          <w:szCs w:val="24"/>
        </w:rPr>
        <w:t xml:space="preserve"> bude nadále schopna pokračovat ve své činnosti. </w:t>
      </w:r>
    </w:p>
    <w:p>
      <w:pPr>
        <w:pStyle w:val="Normal"/>
        <w:spacing w:lineRule="atLeast" w:line="20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lotextu"/>
        <w:rPr/>
      </w:pPr>
      <w:r>
        <w:rPr/>
        <w:t xml:space="preserve">V               dne  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 xml:space="preserve">Sestavil: </w:t>
        <w:tab/>
        <w:tab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 xml:space="preserve">Statutární orgán: </w:t>
        <w:tab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>Příloha č. 1 – Rozpis dlouhodobého majetku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134" w:top="1984" w:footer="1134" w:bottom="170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Arial" w:hAnsi="Arial"/>
      </w:rPr>
    </w:pPr>
    <w:r>
      <w:rPr>
        <w:rFonts w:cs="Arial" w:ascii="Arial" w:hAnsi="Arial"/>
      </w:rPr>
      <w:t xml:space="preserve">Strana </w:t>
    </w:r>
    <w:r>
      <w:rPr>
        <w:rFonts w:ascii="Arial" w:hAnsi="Arial"/>
      </w:rPr>
      <w:fldChar w:fldCharType="begin"/>
    </w:r>
    <w:r>
      <w:rPr>
        <w:rFonts w:ascii="Arial" w:hAnsi="Arial"/>
      </w:rPr>
      <w:instrText> PAGE </w:instrText>
    </w:r>
    <w:r>
      <w:rPr>
        <w:rFonts w:ascii="Arial" w:hAnsi="Arial"/>
      </w:rPr>
      <w:fldChar w:fldCharType="separate"/>
    </w:r>
    <w:r>
      <w:rPr>
        <w:rFonts w:ascii="Arial" w:hAnsi="Arial"/>
      </w:rPr>
      <w:t>6</w:t>
    </w:r>
    <w:r>
      <w:rPr>
        <w:rFonts w:ascii="Arial" w:hAnsi="Arial"/>
      </w:rPr>
      <w:fldChar w:fldCharType="end"/>
    </w:r>
    <w:r>
      <w:rPr>
        <w:rFonts w:cs="Arial" w:ascii="Arial" w:hAnsi="Arial"/>
      </w:rPr>
      <w:t>/</w:t>
    </w:r>
    <w:r>
      <w:rPr>
        <w:rFonts w:ascii="Arial" w:hAnsi="Arial"/>
      </w:rPr>
      <w:fldChar w:fldCharType="begin"/>
    </w:r>
    <w:r>
      <w:rPr>
        <w:rFonts w:ascii="Arial" w:hAnsi="Arial"/>
      </w:rPr>
      <w:instrText> NUMPAGES </w:instrText>
    </w:r>
    <w:r>
      <w:rPr>
        <w:rFonts w:ascii="Arial" w:hAnsi="Arial"/>
      </w:rPr>
      <w:fldChar w:fldCharType="separate"/>
    </w:r>
    <w:r>
      <w:rPr>
        <w:rFonts w:ascii="Arial" w:hAnsi="Arial"/>
      </w:rPr>
      <w:t>12</w:t>
    </w:r>
    <w:r>
      <w:rPr>
        <w:rFonts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Arial" w:hAnsi="Arial" w:cs="Arial"/>
      </w:rPr>
    </w:pPr>
    <w:r>
      <w:rPr>
        <w:rFonts w:cs="Arial" w:ascii="Arial" w:hAnsi="Arial"/>
      </w:rPr>
      <w:t>Název účetní jednotky, IČ, sídlo</w:t>
    </w:r>
  </w:p>
  <w:p>
    <w:pPr>
      <w:pStyle w:val="Zhlav"/>
      <w:jc w:val="center"/>
      <w:rPr/>
    </w:pPr>
    <w:r>
      <w:rPr>
        <w:rFonts w:cs="Arial" w:ascii="Arial" w:hAnsi="Arial"/>
      </w:rPr>
      <w:t>Příloha v účetní závěrce sestavená k 31.12.202</w:t>
    </w:r>
    <w:r>
      <w:rPr>
        <w:rFonts w:cs="Arial" w:ascii="Arial" w:hAnsi="Arial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upperRoman"/>
      <w:suff w:val="nothing"/>
      <w:lvlText w:val="%1. "/>
      <w:lvlJc w:val="left"/>
      <w:pPr>
        <w:tabs>
          <w:tab w:val="num" w:pos="0"/>
        </w:tabs>
        <w:ind w:left="432" w:hanging="432"/>
      </w:pPr>
    </w:lvl>
    <w:lvl w:ilvl="1">
      <w:start w:val="1"/>
      <w:pStyle w:val="Nadpis2"/>
      <w:numFmt w:val="decimal"/>
      <w:suff w:val="nothing"/>
      <w:lvlText w:val="%1.%2.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suff w:val="nothing"/>
      <w:lvlText w:val="%1. 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1.%2.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32"/>
      <w:u w:val="none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283"/>
      <w:ind w:left="0" w:right="0" w:hanging="0"/>
      <w:outlineLvl w:val="1"/>
    </w:pPr>
    <w:rPr>
      <w:rFonts w:ascii="Arial" w:hAnsi="Arial" w:cs="Arial"/>
      <w:b/>
      <w:i w:val="false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Standardnpsmoodstavce">
    <w:name w:val="Standardní písmo odstavce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Standardnpsmoodstavce2">
    <w:name w:val="Standardní písmo odstavce2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AbsatzStandardschriftart111111">
    <w:name w:val="WW-Absatz-Standardschriftart111111"/>
    <w:qFormat/>
    <w:rPr/>
  </w:style>
  <w:style w:type="character" w:styleId="WW8Num9z0">
    <w:name w:val="WW8Num9z0"/>
    <w:qFormat/>
    <w:rPr>
      <w:rFonts w:ascii="Symbol" w:hAnsi="Symbol" w:cs="Symbol"/>
      <w:b/>
      <w:sz w:val="32"/>
    </w:rPr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Standardnpsmoodstavce1">
    <w:name w:val="Standardní písmo odstavce1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Internetovodkaz">
    <w:name w:val="Internetový odkaz"/>
    <w:qFormat/>
    <w:rPr>
      <w:color w:val="000080"/>
      <w:u w:val="single"/>
      <w:lang w:val="zxx" w:eastAsia="zxx" w:bidi="zxx"/>
    </w:rPr>
  </w:style>
  <w:style w:type="character" w:styleId="Odkaznarejstk">
    <w:name w:val="Odkaz na rejstřík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/>
    <w:rPr>
      <w:rFonts w:ascii="Arial" w:hAnsi="Arial" w:cs="Arial"/>
      <w:sz w:val="24"/>
    </w:rPr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Odsazentlatextu">
    <w:name w:val="Body Text Indent"/>
    <w:basedOn w:val="Normal"/>
    <w:pPr>
      <w:ind w:left="284" w:right="0" w:hanging="284"/>
    </w:pPr>
    <w:rPr>
      <w:rFonts w:ascii="Arial" w:hAnsi="Arial" w:cs="Arial"/>
      <w:sz w:val="24"/>
    </w:rPr>
  </w:style>
  <w:style w:type="paragraph" w:styleId="Zkladntext21">
    <w:name w:val="Základní text 21"/>
    <w:basedOn w:val="Normal"/>
    <w:qFormat/>
    <w:pPr/>
    <w:rPr>
      <w:rFonts w:ascii="Arial" w:hAnsi="Arial" w:cs="Arial"/>
      <w:sz w:val="22"/>
    </w:rPr>
  </w:style>
  <w:style w:type="paragraph" w:styleId="Zkladntextodsazen21">
    <w:name w:val="Základní text odsazený 21"/>
    <w:basedOn w:val="Normal"/>
    <w:qFormat/>
    <w:pPr>
      <w:ind w:left="426" w:right="0" w:hanging="142"/>
    </w:pPr>
    <w:rPr>
      <w:rFonts w:ascii="Arial" w:hAnsi="Arial" w:cs="Arial"/>
      <w:sz w:val="22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TOAHeading">
    <w:name w:val="TOA Heading"/>
    <w:basedOn w:val="Nadpis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sah1">
    <w:name w:val="TOC 1"/>
    <w:basedOn w:val="Rejstk"/>
    <w:pPr>
      <w:tabs>
        <w:tab w:val="clear" w:pos="708"/>
        <w:tab w:val="right" w:pos="9072" w:leader="dot"/>
      </w:tabs>
      <w:spacing w:lineRule="auto" w:line="360"/>
      <w:ind w:left="0" w:right="0" w:hanging="0"/>
    </w:pPr>
    <w:rPr>
      <w:rFonts w:ascii="Arial" w:hAnsi="Arial" w:cs="Arial"/>
      <w:sz w:val="24"/>
    </w:rPr>
  </w:style>
  <w:style w:type="paragraph" w:styleId="Obsah2">
    <w:name w:val="TOC 2"/>
    <w:basedOn w:val="Rejstk"/>
    <w:pPr>
      <w:tabs>
        <w:tab w:val="clear" w:pos="708"/>
        <w:tab w:val="right" w:pos="8789" w:leader="dot"/>
      </w:tabs>
      <w:spacing w:lineRule="auto" w:line="264"/>
      <w:ind w:left="283" w:right="0" w:hanging="0"/>
    </w:pPr>
    <w:rPr>
      <w:rFonts w:ascii="Arial" w:hAnsi="Arial" w:cs="Arial"/>
      <w:sz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LibreOffice_Vanilla/7.2.5.2$MacOSX_X86_64 LibreOffice_project/499f9727c189e6ef3471021d6132d4c694f357e5</Application>
  <AppVersion>15.0000</AppVersion>
  <Pages>12</Pages>
  <Words>1916</Words>
  <Characters>10615</Characters>
  <CharactersWithSpaces>12399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2017-02-12T21:09:45Z</dcterms:created>
  <dc:creator/>
  <dc:description/>
  <dc:language>cs-CZ</dc:language>
  <cp:lastModifiedBy/>
  <dcterms:modified xsi:type="dcterms:W3CDTF">2022-09-12T10:42:12Z</dcterms:modified>
  <cp:revision>20</cp:revision>
  <dc:subject/>
  <dc:title/>
</cp:coreProperties>
</file>