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eastAsia="Arial" w:cs="Arial"/>
          <w:b w:val="false"/>
          <w:b w:val="false"/>
          <w:bCs w:val="false"/>
          <w:szCs w:val="24"/>
          <w:lang w:val="cs-CZ" w:eastAsia="cs-CZ"/>
        </w:rPr>
      </w:pPr>
      <w:r>
        <w:rPr>
          <w:rFonts w:eastAsia="Arial" w:cs="Arial"/>
          <w:b w:val="false"/>
          <w:bCs w:val="false"/>
          <w:szCs w:val="24"/>
          <w:lang w:val="cs-CZ" w:eastAsia="cs-CZ"/>
        </w:rPr>
        <w:t>Název, adresa, logo….</w:t>
      </w:r>
    </w:p>
    <w:p>
      <w:pPr>
        <w:pStyle w:val="Normal"/>
        <w:rPr>
          <w:rFonts w:ascii="Arial" w:hAnsi="Arial" w:eastAsia="Arial" w:cs="Arial"/>
          <w:b w:val="false"/>
          <w:b w:val="false"/>
          <w:bCs w:val="false"/>
          <w:szCs w:val="24"/>
          <w:lang w:val="cs-CZ" w:eastAsia="cs-CZ"/>
        </w:rPr>
      </w:pPr>
      <w:r>
        <w:rPr>
          <w:rFonts w:eastAsia="Arial" w:cs="Arial"/>
          <w:b w:val="false"/>
          <w:bCs w:val="false"/>
          <w:szCs w:val="24"/>
          <w:lang w:val="cs-CZ" w:eastAsia="cs-CZ"/>
        </w:rPr>
      </w:r>
    </w:p>
    <w:p>
      <w:pPr>
        <w:pStyle w:val="Normal"/>
        <w:rPr>
          <w:rFonts w:ascii="Arial" w:hAnsi="Arial" w:eastAsia="Arial" w:cs="Arial"/>
          <w:b w:val="false"/>
          <w:b w:val="false"/>
          <w:bCs w:val="false"/>
          <w:szCs w:val="24"/>
          <w:lang w:val="cs-CZ" w:eastAsia="cs-CZ"/>
        </w:rPr>
      </w:pPr>
      <w:r>
        <w:rPr>
          <w:rFonts w:eastAsia="Arial" w:cs="Arial"/>
          <w:b w:val="false"/>
          <w:bCs w:val="false"/>
          <w:szCs w:val="24"/>
          <w:lang w:val="cs-CZ" w:eastAsia="cs-CZ"/>
        </w:rPr>
      </w:r>
    </w:p>
    <w:p>
      <w:pPr>
        <w:pStyle w:val="Normal"/>
        <w:rPr>
          <w:rFonts w:ascii="Arial" w:hAnsi="Arial" w:eastAsia="Arial" w:cs="Arial"/>
          <w:b w:val="false"/>
          <w:b w:val="false"/>
          <w:bCs w:val="false"/>
          <w:szCs w:val="24"/>
          <w:lang w:val="cs-CZ" w:eastAsia="cs-CZ"/>
        </w:rPr>
      </w:pPr>
      <w:r>
        <w:rPr>
          <w:rFonts w:eastAsia="Arial" w:cs="Arial"/>
          <w:b w:val="false"/>
          <w:bCs w:val="false"/>
          <w:szCs w:val="24"/>
          <w:lang w:val="cs-CZ" w:eastAsia="cs-CZ"/>
        </w:rPr>
      </w:r>
    </w:p>
    <w:p>
      <w:pPr>
        <w:pStyle w:val="Normal"/>
        <w:rPr>
          <w:rFonts w:ascii="Arial" w:hAnsi="Arial" w:eastAsia="Arial" w:cs="Arial"/>
          <w:b w:val="false"/>
          <w:b w:val="false"/>
          <w:bCs w:val="false"/>
          <w:szCs w:val="24"/>
          <w:lang w:val="cs-CZ" w:eastAsia="cs-CZ"/>
        </w:rPr>
      </w:pPr>
      <w:r>
        <w:rPr>
          <w:rFonts w:eastAsia="Arial" w:cs="Arial"/>
          <w:b w:val="false"/>
          <w:bCs w:val="false"/>
          <w:szCs w:val="24"/>
          <w:lang w:val="cs-CZ" w:eastAsia="cs-CZ"/>
        </w:rPr>
      </w:r>
    </w:p>
    <w:p>
      <w:pPr>
        <w:pStyle w:val="Normal"/>
        <w:rPr>
          <w:rFonts w:ascii="Arial" w:hAnsi="Arial" w:eastAsia="Arial" w:cs="Arial"/>
          <w:b w:val="false"/>
          <w:b w:val="false"/>
          <w:bCs w:val="false"/>
          <w:szCs w:val="24"/>
          <w:lang w:val="cs-CZ" w:eastAsia="cs-CZ"/>
        </w:rPr>
      </w:pPr>
      <w:r>
        <w:rPr>
          <w:rFonts w:eastAsia="Arial" w:cs="Arial"/>
          <w:b w:val="false"/>
          <w:bCs w:val="false"/>
          <w:szCs w:val="24"/>
          <w:lang w:val="cs-CZ" w:eastAsia="cs-CZ"/>
        </w:rPr>
      </w:r>
    </w:p>
    <w:p>
      <w:pPr>
        <w:pStyle w:val="Normal"/>
        <w:jc w:val="center"/>
        <w:rPr>
          <w:rFonts w:ascii="Arial" w:hAnsi="Arial" w:eastAsia="Arial" w:cs="Arial"/>
          <w:b/>
          <w:b/>
          <w:bCs w:val="false"/>
          <w:sz w:val="44"/>
          <w:szCs w:val="44"/>
          <w:lang w:val="cs-CZ" w:eastAsia="cs-CZ"/>
        </w:rPr>
      </w:pPr>
      <w:r>
        <w:rPr>
          <w:rFonts w:eastAsia="Arial" w:cs="Arial"/>
          <w:b/>
          <w:bCs w:val="false"/>
          <w:sz w:val="44"/>
          <w:szCs w:val="44"/>
          <w:lang w:val="cs-CZ" w:eastAsia="cs-CZ"/>
        </w:rPr>
      </w:r>
    </w:p>
    <w:p>
      <w:pPr>
        <w:pStyle w:val="Normal"/>
        <w:jc w:val="center"/>
        <w:rPr>
          <w:rFonts w:ascii="Arial" w:hAnsi="Arial" w:eastAsia="Arial" w:cs="Arial"/>
          <w:b/>
          <w:b/>
          <w:bCs w:val="false"/>
          <w:sz w:val="44"/>
          <w:szCs w:val="44"/>
          <w:lang w:val="cs-CZ" w:eastAsia="cs-CZ"/>
        </w:rPr>
      </w:pPr>
      <w:r>
        <w:rPr>
          <w:rFonts w:eastAsia="Arial" w:cs="Arial"/>
          <w:b/>
          <w:bCs w:val="false"/>
          <w:sz w:val="44"/>
          <w:szCs w:val="44"/>
          <w:lang w:val="cs-CZ" w:eastAsia="cs-CZ"/>
        </w:rPr>
      </w:r>
    </w:p>
    <w:p>
      <w:pPr>
        <w:pStyle w:val="Normal"/>
        <w:jc w:val="center"/>
        <w:rPr>
          <w:rFonts w:ascii="Arial" w:hAnsi="Arial" w:eastAsia="Arial" w:cs="Arial"/>
          <w:b/>
          <w:b/>
          <w:bCs w:val="false"/>
          <w:sz w:val="44"/>
          <w:szCs w:val="44"/>
          <w:lang w:val="cs-CZ" w:eastAsia="cs-CZ"/>
        </w:rPr>
      </w:pPr>
      <w:r>
        <w:rPr>
          <w:rFonts w:eastAsia="Arial" w:cs="Arial"/>
          <w:b/>
          <w:bCs w:val="false"/>
          <w:sz w:val="44"/>
          <w:szCs w:val="44"/>
          <w:lang w:val="cs-CZ" w:eastAsia="cs-CZ"/>
        </w:rPr>
      </w:r>
    </w:p>
    <w:p>
      <w:pPr>
        <w:pStyle w:val="Normal"/>
        <w:jc w:val="center"/>
        <w:rPr>
          <w:rFonts w:ascii="Arial" w:hAnsi="Arial" w:cs="Arial"/>
          <w:b/>
          <w:b/>
          <w:sz w:val="44"/>
          <w:szCs w:val="44"/>
        </w:rPr>
      </w:pPr>
      <w:r>
        <w:rPr>
          <w:rFonts w:cs="Arial"/>
          <w:b/>
          <w:sz w:val="44"/>
          <w:szCs w:val="44"/>
        </w:rPr>
        <w:t xml:space="preserve">Vnitřní předpis </w:t>
      </w:r>
    </w:p>
    <w:p>
      <w:pPr>
        <w:pStyle w:val="Normal"/>
        <w:jc w:val="center"/>
        <w:rPr>
          <w:rFonts w:ascii="Arial" w:hAnsi="Arial" w:cs="Arial"/>
          <w:b/>
          <w:b/>
          <w:sz w:val="44"/>
          <w:szCs w:val="44"/>
        </w:rPr>
      </w:pPr>
      <w:r>
        <w:rPr>
          <w:rFonts w:cs="Arial"/>
          <w:b/>
          <w:sz w:val="44"/>
          <w:szCs w:val="44"/>
        </w:rPr>
        <w:t xml:space="preserve">pro vedení účetnictví </w:t>
      </w:r>
    </w:p>
    <w:p>
      <w:pPr>
        <w:pStyle w:val="Normal"/>
        <w:jc w:val="center"/>
        <w:rPr>
          <w:rFonts w:ascii="Arial" w:hAnsi="Arial" w:cs="Arial"/>
          <w:b/>
          <w:b/>
          <w:sz w:val="44"/>
          <w:szCs w:val="44"/>
        </w:rPr>
      </w:pPr>
      <w:r>
        <w:rPr>
          <w:rFonts w:cs="Arial"/>
          <w:b/>
          <w:sz w:val="44"/>
          <w:szCs w:val="44"/>
        </w:rPr>
        <w:t>a finanční hospodaření</w:t>
      </w:r>
    </w:p>
    <w:p>
      <w:pPr>
        <w:pStyle w:val="Normal"/>
        <w:jc w:val="center"/>
        <w:rPr>
          <w:rFonts w:ascii="Arial" w:hAnsi="Arial" w:eastAsia="Times New Roman CE" w:cs="Arial"/>
          <w:b/>
          <w:b/>
          <w:color w:val="00000A"/>
          <w:sz w:val="22"/>
          <w:szCs w:val="22"/>
          <w:lang w:val="cs-CZ" w:eastAsia="zxx" w:bidi="zxx"/>
        </w:rPr>
      </w:pPr>
      <w:r>
        <w:rPr>
          <w:rFonts w:eastAsia="Times New Roman CE" w:cs="Arial"/>
          <w:b/>
          <w:color w:val="00000A"/>
          <w:sz w:val="22"/>
          <w:szCs w:val="22"/>
          <w:lang w:val="cs-CZ" w:eastAsia="zxx" w:bidi="zxx"/>
        </w:rPr>
      </w:r>
    </w:p>
    <w:p>
      <w:pPr>
        <w:pStyle w:val="Normal"/>
        <w:jc w:val="center"/>
        <w:rPr>
          <w:rFonts w:ascii="Arial" w:hAnsi="Arial" w:eastAsia="Times New Roman CE" w:cs="Arial"/>
          <w:b/>
          <w:b/>
          <w:color w:val="00000A"/>
          <w:sz w:val="22"/>
          <w:szCs w:val="22"/>
          <w:lang w:val="cs-CZ" w:eastAsia="zxx" w:bidi="zxx"/>
        </w:rPr>
      </w:pPr>
      <w:r>
        <w:rPr>
          <w:rFonts w:eastAsia="Times New Roman CE" w:cs="Arial"/>
          <w:b/>
          <w:color w:val="00000A"/>
          <w:sz w:val="22"/>
          <w:szCs w:val="22"/>
          <w:lang w:val="cs-CZ" w:eastAsia="zxx" w:bidi="zxx"/>
        </w:rPr>
        <w:t>organizace</w:t>
      </w:r>
    </w:p>
    <w:p>
      <w:pPr>
        <w:pStyle w:val="Normal"/>
        <w:jc w:val="center"/>
        <w:rPr>
          <w:rFonts w:ascii="Arial" w:hAnsi="Arial" w:eastAsia="Times New Roman CE" w:cs="Arial"/>
          <w:b/>
          <w:b/>
          <w:color w:val="00000A"/>
          <w:sz w:val="22"/>
          <w:szCs w:val="22"/>
          <w:lang w:val="cs-CZ" w:eastAsia="zxx" w:bidi="zxx"/>
        </w:rPr>
      </w:pPr>
      <w:r>
        <w:rPr>
          <w:rFonts w:eastAsia="Times New Roman CE" w:cs="Arial"/>
          <w:b/>
          <w:color w:val="00000A"/>
          <w:sz w:val="22"/>
          <w:szCs w:val="22"/>
          <w:lang w:val="cs-CZ" w:eastAsia="zxx" w:bidi="zxx"/>
        </w:rPr>
      </w:r>
    </w:p>
    <w:p>
      <w:pPr>
        <w:pStyle w:val="Normal"/>
        <w:jc w:val="center"/>
        <w:rPr>
          <w:rFonts w:ascii="Arial" w:hAnsi="Arial" w:eastAsia="Times New Roman CE" w:cs="Arial"/>
          <w:b/>
          <w:b/>
          <w:color w:val="00000A"/>
          <w:sz w:val="28"/>
          <w:szCs w:val="28"/>
          <w:lang w:val="cs-CZ" w:eastAsia="zxx" w:bidi="zxx"/>
        </w:rPr>
      </w:pPr>
      <w:r>
        <w:rPr>
          <w:rFonts w:eastAsia="Times New Roman CE" w:cs="Arial"/>
          <w:b/>
          <w:color w:val="00000A"/>
          <w:sz w:val="28"/>
          <w:szCs w:val="28"/>
          <w:lang w:val="cs-CZ" w:eastAsia="zxx" w:bidi="zxx"/>
        </w:rPr>
        <w:t>NNO</w:t>
      </w:r>
    </w:p>
    <w:p>
      <w:pPr>
        <w:pStyle w:val="Normal"/>
        <w:jc w:val="center"/>
        <w:rPr>
          <w:rFonts w:ascii="Arial" w:hAnsi="Arial" w:eastAsia="Times New Roman CE" w:cs="Arial"/>
          <w:b/>
          <w:b/>
          <w:color w:val="00000A"/>
          <w:sz w:val="22"/>
          <w:szCs w:val="22"/>
          <w:lang w:val="cs-CZ" w:eastAsia="zxx" w:bidi="zxx"/>
        </w:rPr>
      </w:pPr>
      <w:r>
        <w:rPr>
          <w:rFonts w:eastAsia="Times New Roman CE" w:cs="Arial"/>
          <w:b/>
          <w:color w:val="00000A"/>
          <w:sz w:val="22"/>
          <w:szCs w:val="22"/>
          <w:lang w:val="cs-CZ" w:eastAsia="zxx" w:bidi="zxx"/>
        </w:rPr>
      </w:r>
    </w:p>
    <w:p>
      <w:pPr>
        <w:pStyle w:val="Normal"/>
        <w:jc w:val="center"/>
        <w:rPr>
          <w:rFonts w:ascii="Arial" w:hAnsi="Arial" w:eastAsia="Times New Roman CE" w:cs="Arial"/>
          <w:b/>
          <w:b/>
          <w:color w:val="00000A"/>
          <w:sz w:val="22"/>
          <w:szCs w:val="22"/>
          <w:lang w:val="cs-CZ" w:eastAsia="zxx" w:bidi="zxx"/>
        </w:rPr>
      </w:pPr>
      <w:r>
        <w:rPr>
          <w:rFonts w:eastAsia="Times New Roman CE" w:cs="Arial"/>
          <w:b/>
          <w:color w:val="00000A"/>
          <w:sz w:val="22"/>
          <w:szCs w:val="22"/>
          <w:lang w:val="cs-CZ" w:eastAsia="zxx" w:bidi="zxx"/>
        </w:rPr>
      </w:r>
    </w:p>
    <w:p>
      <w:pPr>
        <w:pStyle w:val="Normal"/>
        <w:jc w:val="center"/>
        <w:rPr>
          <w:rFonts w:ascii="Arial" w:hAnsi="Arial" w:eastAsia="Times New Roman CE" w:cs="Arial"/>
          <w:b w:val="false"/>
          <w:b w:val="false"/>
          <w:bCs w:val="false"/>
          <w:color w:val="00000A"/>
          <w:sz w:val="22"/>
          <w:szCs w:val="22"/>
          <w:lang w:val="cs-CZ" w:eastAsia="zxx" w:bidi="zxx"/>
        </w:rPr>
      </w:pPr>
      <w:r>
        <w:rPr>
          <w:rFonts w:eastAsia="Times New Roman CE" w:cs="Arial"/>
          <w:b w:val="false"/>
          <w:bCs w:val="false"/>
          <w:color w:val="00000A"/>
          <w:sz w:val="22"/>
          <w:szCs w:val="22"/>
          <w:lang w:val="cs-CZ" w:eastAsia="zxx" w:bidi="zxx"/>
        </w:rPr>
        <w:t>Datum poslední aktualizace: 1.1.20</w:t>
      </w:r>
      <w:r>
        <w:rPr>
          <w:rFonts w:eastAsia="Times New Roman CE" w:cs="Arial"/>
          <w:b w:val="false"/>
          <w:bCs w:val="false"/>
          <w:color w:val="00000A"/>
          <w:sz w:val="22"/>
          <w:szCs w:val="22"/>
          <w:lang w:val="cs-CZ" w:eastAsia="zxx" w:bidi="zxx"/>
        </w:rPr>
        <w:t>23</w:t>
      </w:r>
    </w:p>
    <w:p>
      <w:pPr>
        <w:pStyle w:val="Normal"/>
        <w:jc w:val="center"/>
        <w:rPr>
          <w:rFonts w:ascii="Arial" w:hAnsi="Arial" w:cs="Arial"/>
          <w:b/>
          <w:b/>
          <w:sz w:val="22"/>
          <w:szCs w:val="22"/>
        </w:rPr>
      </w:pPr>
      <w:r>
        <w:rPr>
          <w:rFonts w:cs="Arial"/>
          <w:b/>
          <w:sz w:val="22"/>
          <w:szCs w:val="22"/>
        </w:rPr>
      </w:r>
    </w:p>
    <w:p>
      <w:pPr>
        <w:pStyle w:val="Normal"/>
        <w:jc w:val="center"/>
        <w:rPr>
          <w:rFonts w:ascii="Arial" w:hAnsi="Arial" w:cs="Arial"/>
          <w:b/>
          <w:b/>
          <w:sz w:val="22"/>
          <w:szCs w:val="22"/>
        </w:rPr>
      </w:pPr>
      <w:r>
        <w:rPr>
          <w:rFonts w:cs="Arial"/>
          <w:b/>
          <w:sz w:val="22"/>
          <w:szCs w:val="22"/>
        </w:rPr>
      </w:r>
    </w:p>
    <w:p>
      <w:pPr>
        <w:pStyle w:val="Normal"/>
        <w:jc w:val="center"/>
        <w:rPr>
          <w:rFonts w:ascii="Arial" w:hAnsi="Arial" w:cs="Arial"/>
          <w:b/>
          <w:b/>
          <w:sz w:val="22"/>
          <w:szCs w:val="22"/>
        </w:rPr>
      </w:pPr>
      <w:r>
        <w:rPr>
          <w:rFonts w:cs="Arial"/>
          <w:b/>
          <w:sz w:val="22"/>
          <w:szCs w:val="22"/>
        </w:rPr>
      </w:r>
    </w:p>
    <w:p>
      <w:pPr>
        <w:pStyle w:val="Normal"/>
        <w:jc w:val="center"/>
        <w:rPr>
          <w:rFonts w:ascii="Arial" w:hAnsi="Arial" w:cs="Arial"/>
          <w:b/>
          <w:b/>
          <w:sz w:val="22"/>
          <w:szCs w:val="22"/>
        </w:rPr>
      </w:pPr>
      <w:r>
        <w:rPr>
          <w:rFonts w:cs="Arial"/>
          <w:b/>
          <w:sz w:val="22"/>
          <w:szCs w:val="22"/>
        </w:rPr>
      </w:r>
    </w:p>
    <w:p>
      <w:pPr>
        <w:pStyle w:val="Normal"/>
        <w:jc w:val="center"/>
        <w:rPr>
          <w:rFonts w:ascii="Arial" w:hAnsi="Arial" w:cs="Arial"/>
          <w:b/>
          <w:b/>
          <w:sz w:val="22"/>
          <w:szCs w:val="22"/>
        </w:rPr>
      </w:pPr>
      <w:r>
        <w:rPr>
          <w:rFonts w:cs="Arial"/>
          <w:b/>
          <w:sz w:val="22"/>
          <w:szCs w:val="22"/>
        </w:rPr>
      </w:r>
    </w:p>
    <w:p>
      <w:pPr>
        <w:pStyle w:val="Normal"/>
        <w:jc w:val="center"/>
        <w:rPr>
          <w:rFonts w:ascii="Arial" w:hAnsi="Arial" w:cs="Arial"/>
          <w:b/>
          <w:b/>
          <w:sz w:val="22"/>
          <w:szCs w:val="22"/>
        </w:rPr>
      </w:pPr>
      <w:r>
        <w:rPr>
          <w:rFonts w:cs="Arial"/>
          <w:b/>
          <w:sz w:val="22"/>
          <w:szCs w:val="22"/>
        </w:rPr>
      </w:r>
    </w:p>
    <w:p>
      <w:pPr>
        <w:pStyle w:val="Normal"/>
        <w:jc w:val="center"/>
        <w:rPr>
          <w:rFonts w:ascii="Arial" w:hAnsi="Arial" w:cs="Arial"/>
          <w:b/>
          <w:b/>
          <w:sz w:val="22"/>
          <w:szCs w:val="22"/>
        </w:rPr>
      </w:pPr>
      <w:r>
        <w:rPr>
          <w:rFonts w:cs="Arial"/>
          <w:b/>
          <w:sz w:val="22"/>
          <w:szCs w:val="22"/>
        </w:rPr>
      </w:r>
    </w:p>
    <w:p>
      <w:pPr>
        <w:pStyle w:val="Normal"/>
        <w:jc w:val="center"/>
        <w:rPr>
          <w:rFonts w:ascii="Arial" w:hAnsi="Arial" w:cs="Arial"/>
          <w:b/>
          <w:b/>
          <w:sz w:val="22"/>
          <w:szCs w:val="22"/>
        </w:rPr>
      </w:pPr>
      <w:r>
        <w:rPr>
          <w:rFonts w:cs="Arial"/>
          <w:b/>
          <w:sz w:val="22"/>
          <w:szCs w:val="22"/>
        </w:rPr>
      </w:r>
    </w:p>
    <w:p>
      <w:pPr>
        <w:pStyle w:val="Normal"/>
        <w:tabs>
          <w:tab w:val="clear" w:pos="708"/>
          <w:tab w:val="left" w:pos="4605" w:leader="none"/>
        </w:tabs>
        <w:jc w:val="center"/>
        <w:rPr>
          <w:rFonts w:ascii="Arial" w:hAnsi="Arial" w:cs="Arial"/>
          <w:sz w:val="22"/>
          <w:szCs w:val="22"/>
        </w:rPr>
      </w:pPr>
      <w:r>
        <w:rPr>
          <w:rFonts w:cs="Arial"/>
          <w:sz w:val="22"/>
          <w:szCs w:val="22"/>
        </w:rPr>
        <w:t>Vnitřní předpis schvaluje ředitel organizace.</w:t>
      </w:r>
    </w:p>
    <w:p>
      <w:pPr>
        <w:pStyle w:val="Normal"/>
        <w:tabs>
          <w:tab w:val="clear" w:pos="708"/>
          <w:tab w:val="left" w:pos="4605" w:leader="none"/>
        </w:tabs>
        <w:jc w:val="center"/>
        <w:rPr>
          <w:rFonts w:ascii="Arial" w:hAnsi="Arial" w:cs="Arial"/>
          <w:sz w:val="22"/>
          <w:szCs w:val="22"/>
        </w:rPr>
      </w:pPr>
      <w:r>
        <w:rPr>
          <w:rFonts w:cs="Arial"/>
          <w:sz w:val="22"/>
          <w:szCs w:val="22"/>
        </w:rPr>
      </w:r>
    </w:p>
    <w:p>
      <w:pPr>
        <w:pStyle w:val="Normal"/>
        <w:jc w:val="center"/>
        <w:rPr>
          <w:rFonts w:ascii="Arial" w:hAnsi="Arial" w:eastAsia="Times New Roman CE" w:cs="Arial"/>
          <w:b w:val="false"/>
          <w:b w:val="false"/>
          <w:bCs w:val="false"/>
          <w:color w:val="00000A"/>
          <w:sz w:val="22"/>
          <w:szCs w:val="22"/>
          <w:lang w:val="cs-CZ" w:eastAsia="zxx" w:bidi="zxx"/>
        </w:rPr>
      </w:pPr>
      <w:r>
        <w:rPr>
          <w:rFonts w:eastAsia="Times New Roman CE" w:cs="Arial"/>
          <w:b w:val="false"/>
          <w:bCs w:val="false"/>
          <w:color w:val="00000A"/>
          <w:sz w:val="22"/>
          <w:szCs w:val="22"/>
          <w:lang w:val="cs-CZ" w:eastAsia="zxx" w:bidi="zxx"/>
        </w:rPr>
        <w:t>Odpovědní pracovníci organizace navrhnou aktualizaci pokud se změní používané postupy v rámci organizace. Účetní firma navrhne aktualizaci pokud se změní účetní postupy ať již z důvodu změny zákonných norem nebo z důvodu nové praxe.</w:t>
      </w:r>
    </w:p>
    <w:p>
      <w:pPr>
        <w:pStyle w:val="Normal"/>
        <w:rPr>
          <w:rFonts w:ascii="Arial" w:hAnsi="Arial" w:eastAsia="Arial" w:cs="Arial"/>
          <w:sz w:val="24"/>
          <w:szCs w:val="24"/>
        </w:rPr>
      </w:pPr>
      <w:r>
        <w:rPr>
          <w:rFonts w:eastAsia="Arial" w:cs="Arial"/>
          <w:sz w:val="24"/>
          <w:szCs w:val="24"/>
        </w:rPr>
      </w:r>
      <w:r>
        <w:br w:type="page"/>
      </w:r>
    </w:p>
    <w:p>
      <w:pPr>
        <w:pStyle w:val="Normal"/>
        <w:rPr>
          <w:rFonts w:ascii="Arial" w:hAnsi="Arial" w:cs="Arial"/>
          <w:b/>
          <w:b/>
          <w:sz w:val="32"/>
          <w:szCs w:val="32"/>
        </w:rPr>
      </w:pPr>
      <w:r>
        <w:rPr>
          <w:rFonts w:cs="Arial"/>
          <w:b/>
          <w:sz w:val="32"/>
          <w:szCs w:val="32"/>
        </w:rPr>
        <w:t>Obsah:</w:t>
      </w:r>
    </w:p>
    <w:p>
      <w:pPr>
        <w:pStyle w:val="Normal"/>
        <w:rPr>
          <w:rFonts w:ascii="Arial" w:hAnsi="Arial" w:cs="Arial"/>
          <w:b/>
          <w:b/>
          <w:sz w:val="24"/>
          <w:szCs w:val="24"/>
        </w:rPr>
      </w:pPr>
      <w:r>
        <w:rPr>
          <w:rFonts w:cs="Arial"/>
          <w:b/>
          <w:sz w:val="24"/>
          <w:szCs w:val="24"/>
        </w:rPr>
      </w:r>
    </w:p>
    <w:p>
      <w:pPr>
        <w:pStyle w:val="Normal"/>
        <w:rPr>
          <w:rFonts w:ascii="Arial" w:hAnsi="Arial" w:cs="Arial"/>
          <w:b/>
          <w:b/>
          <w:sz w:val="24"/>
          <w:szCs w:val="24"/>
        </w:rPr>
      </w:pPr>
      <w:r>
        <w:rPr>
          <w:rFonts w:cs="Arial"/>
          <w:b/>
          <w:sz w:val="24"/>
          <w:szCs w:val="24"/>
        </w:rPr>
      </w:r>
    </w:p>
    <w:sdt>
      <w:sdtPr>
        <w:docPartObj>
          <w:docPartGallery w:val="Table of Contents"/>
          <w:docPartUnique w:val="true"/>
        </w:docPartObj>
      </w:sdtPr>
      <w:sdtContent>
        <w:p>
          <w:pPr>
            <w:pStyle w:val="Contents1"/>
            <w:rPr/>
          </w:pPr>
          <w:r>
            <w:fldChar w:fldCharType="begin"/>
          </w:r>
          <w:r>
            <w:rPr>
              <w:rStyle w:val="IndexLink"/>
            </w:rPr>
            <w:instrText> TOC \f \o "1-9" \h</w:instrText>
          </w:r>
          <w:r>
            <w:rPr>
              <w:rStyle w:val="IndexLink"/>
            </w:rPr>
            <w:fldChar w:fldCharType="separate"/>
          </w:r>
          <w:hyperlink w:anchor="__RefHeading___Toc7638_573671802">
            <w:r>
              <w:rPr>
                <w:rStyle w:val="IndexLink"/>
              </w:rPr>
              <w:t>I.  Rozdělení odpovědností v oblasti ekonomiky a účetnictví</w:t>
              <w:tab/>
              <w:t>4</w:t>
            </w:r>
          </w:hyperlink>
        </w:p>
        <w:p>
          <w:pPr>
            <w:pStyle w:val="Contents2"/>
            <w:tabs>
              <w:tab w:val="right" w:pos="8787" w:leader="dot"/>
              <w:tab w:val="right" w:pos="9070" w:leader="dot"/>
            </w:tabs>
            <w:rPr/>
          </w:pPr>
          <w:hyperlink w:anchor="__RefHeading___Toc5001_3590462016">
            <w:r>
              <w:rPr>
                <w:rStyle w:val="IndexLink"/>
              </w:rPr>
              <w:t>I.1.  Hlavní účetní – externí účetní firma XXX</w:t>
              <w:tab/>
              <w:t>4</w:t>
            </w:r>
          </w:hyperlink>
        </w:p>
        <w:p>
          <w:pPr>
            <w:pStyle w:val="Contents2"/>
            <w:tabs>
              <w:tab w:val="right" w:pos="8787" w:leader="dot"/>
              <w:tab w:val="right" w:pos="9070" w:leader="dot"/>
            </w:tabs>
            <w:rPr/>
          </w:pPr>
          <w:hyperlink w:anchor="__RefHeading___Toc5003_3590462016">
            <w:r>
              <w:rPr>
                <w:rStyle w:val="IndexLink"/>
              </w:rPr>
              <w:t>I.2.  Finanční manažer - YYY:</w:t>
              <w:tab/>
              <w:t>4</w:t>
            </w:r>
          </w:hyperlink>
        </w:p>
        <w:p>
          <w:pPr>
            <w:pStyle w:val="Contents2"/>
            <w:tabs>
              <w:tab w:val="right" w:pos="8787" w:leader="dot"/>
              <w:tab w:val="right" w:pos="9070" w:leader="dot"/>
            </w:tabs>
            <w:rPr/>
          </w:pPr>
          <w:hyperlink w:anchor="__RefHeading___Toc5005_3590462016">
            <w:r>
              <w:rPr>
                <w:rStyle w:val="IndexLink"/>
              </w:rPr>
              <w:t>I.3.  Ředitel organizace - ZZZ:</w:t>
              <w:tab/>
              <w:t>4</w:t>
            </w:r>
          </w:hyperlink>
        </w:p>
        <w:p>
          <w:pPr>
            <w:pStyle w:val="Contents2"/>
            <w:tabs>
              <w:tab w:val="right" w:pos="8787" w:leader="dot"/>
              <w:tab w:val="right" w:pos="9070" w:leader="dot"/>
            </w:tabs>
            <w:rPr/>
          </w:pPr>
          <w:hyperlink w:anchor="__RefHeading___Toc5007_3590462016">
            <w:r>
              <w:rPr>
                <w:rStyle w:val="IndexLink"/>
              </w:rPr>
              <w:t>I.4.  Podpisové vzory</w:t>
              <w:tab/>
              <w:t>4</w:t>
            </w:r>
          </w:hyperlink>
        </w:p>
        <w:p>
          <w:pPr>
            <w:pStyle w:val="Contents1"/>
            <w:rPr/>
          </w:pPr>
          <w:hyperlink w:anchor="__RefHeading___Toc7640_573671802">
            <w:r>
              <w:rPr>
                <w:rStyle w:val="IndexLink"/>
              </w:rPr>
              <w:t>II.  Účtový rozvrh</w:t>
              <w:tab/>
              <w:t>5</w:t>
            </w:r>
          </w:hyperlink>
        </w:p>
        <w:p>
          <w:pPr>
            <w:pStyle w:val="Contents1"/>
            <w:rPr/>
          </w:pPr>
          <w:hyperlink w:anchor="__RefHeading___Toc6663_173049253">
            <w:r>
              <w:rPr>
                <w:rStyle w:val="IndexLink"/>
              </w:rPr>
              <w:t>III.  Účetní doklady</w:t>
              <w:tab/>
              <w:t>6</w:t>
            </w:r>
          </w:hyperlink>
        </w:p>
        <w:p>
          <w:pPr>
            <w:pStyle w:val="Contents2"/>
            <w:tabs>
              <w:tab w:val="right" w:pos="8787" w:leader="dot"/>
              <w:tab w:val="right" w:pos="9070" w:leader="dot"/>
            </w:tabs>
            <w:rPr/>
          </w:pPr>
          <w:hyperlink w:anchor="__RefHeading___Toc3929_220351804">
            <w:r>
              <w:rPr>
                <w:rStyle w:val="IndexLink"/>
              </w:rPr>
              <w:t>III.1.  Účetní doklady a účetní zápisy</w:t>
              <w:tab/>
              <w:t>6</w:t>
            </w:r>
          </w:hyperlink>
        </w:p>
        <w:p>
          <w:pPr>
            <w:pStyle w:val="Contents2"/>
            <w:tabs>
              <w:tab w:val="right" w:pos="8787" w:leader="dot"/>
              <w:tab w:val="right" w:pos="9070" w:leader="dot"/>
            </w:tabs>
            <w:rPr/>
          </w:pPr>
          <w:hyperlink w:anchor="__RefHeading___Toc3931_220351804">
            <w:r>
              <w:rPr>
                <w:rStyle w:val="IndexLink"/>
              </w:rPr>
              <w:t>III.2.  Odpovědnosti v oblasti účetních dokladů</w:t>
              <w:tab/>
              <w:t>6</w:t>
            </w:r>
          </w:hyperlink>
        </w:p>
        <w:p>
          <w:pPr>
            <w:pStyle w:val="Contents2"/>
            <w:tabs>
              <w:tab w:val="right" w:pos="8787" w:leader="dot"/>
              <w:tab w:val="right" w:pos="9070" w:leader="dot"/>
            </w:tabs>
            <w:rPr/>
          </w:pPr>
          <w:hyperlink w:anchor="__RefHeading___Toc3933_220351804">
            <w:r>
              <w:rPr>
                <w:rStyle w:val="IndexLink"/>
              </w:rPr>
              <w:t>III.3.  Seznam číselných řad jednotlivých dokladů</w:t>
              <w:tab/>
              <w:t>6</w:t>
            </w:r>
          </w:hyperlink>
        </w:p>
        <w:p>
          <w:pPr>
            <w:pStyle w:val="Contents2"/>
            <w:tabs>
              <w:tab w:val="right" w:pos="8787" w:leader="dot"/>
              <w:tab w:val="right" w:pos="9070" w:leader="dot"/>
            </w:tabs>
            <w:rPr/>
          </w:pPr>
          <w:hyperlink w:anchor="__RefHeading___Toc3935_220351804">
            <w:r>
              <w:rPr>
                <w:rStyle w:val="IndexLink"/>
              </w:rPr>
              <w:t>III.4.  Seznam číselníků</w:t>
              <w:tab/>
              <w:t>6</w:t>
            </w:r>
          </w:hyperlink>
        </w:p>
        <w:p>
          <w:pPr>
            <w:pStyle w:val="Contents2"/>
            <w:tabs>
              <w:tab w:val="right" w:pos="8787" w:leader="dot"/>
              <w:tab w:val="right" w:pos="9070" w:leader="dot"/>
            </w:tabs>
            <w:rPr/>
          </w:pPr>
          <w:hyperlink w:anchor="__RefHeading___Toc10886_1907744473">
            <w:r>
              <w:rPr>
                <w:rStyle w:val="IndexLink"/>
              </w:rPr>
              <w:t>III.5.  Oběh účetních dokladů</w:t>
              <w:tab/>
              <w:t>6</w:t>
            </w:r>
          </w:hyperlink>
        </w:p>
        <w:p>
          <w:pPr>
            <w:pStyle w:val="Contents1"/>
            <w:rPr/>
          </w:pPr>
          <w:hyperlink w:anchor="__RefHeading___Toc6665_173049253">
            <w:r>
              <w:rPr>
                <w:rStyle w:val="IndexLink"/>
              </w:rPr>
              <w:t>IV.  Pracovní cesty</w:t>
              <w:tab/>
              <w:t>7</w:t>
            </w:r>
          </w:hyperlink>
        </w:p>
        <w:p>
          <w:pPr>
            <w:pStyle w:val="Contents2"/>
            <w:tabs>
              <w:tab w:val="right" w:pos="8787" w:leader="dot"/>
              <w:tab w:val="right" w:pos="9070" w:leader="dot"/>
            </w:tabs>
            <w:rPr/>
          </w:pPr>
          <w:hyperlink w:anchor="__RefHeading___Toc3937_220351804">
            <w:r>
              <w:rPr>
                <w:rStyle w:val="IndexLink"/>
              </w:rPr>
              <w:t>IV.1.  Základní pravidla</w:t>
              <w:tab/>
              <w:t>7</w:t>
            </w:r>
          </w:hyperlink>
        </w:p>
        <w:p>
          <w:pPr>
            <w:pStyle w:val="Contents3"/>
            <w:tabs>
              <w:tab w:val="right" w:pos="8504" w:leader="dot"/>
              <w:tab w:val="right" w:pos="9070" w:leader="dot"/>
            </w:tabs>
            <w:rPr/>
          </w:pPr>
          <w:hyperlink w:anchor="__RefHeading___Toc3939_220351804">
            <w:r>
              <w:rPr>
                <w:rStyle w:val="IndexLink"/>
              </w:rPr>
              <w:t>IV.1.1.  Náhrady</w:t>
              <w:tab/>
              <w:t>7</w:t>
            </w:r>
          </w:hyperlink>
        </w:p>
        <w:p>
          <w:pPr>
            <w:pStyle w:val="Contents3"/>
            <w:tabs>
              <w:tab w:val="right" w:pos="8504" w:leader="dot"/>
              <w:tab w:val="right" w:pos="9070" w:leader="dot"/>
            </w:tabs>
            <w:rPr/>
          </w:pPr>
          <w:hyperlink w:anchor="__RefHeading___Toc3941_220351804">
            <w:r>
              <w:rPr>
                <w:rStyle w:val="IndexLink"/>
              </w:rPr>
              <w:t>IV.1.2.  Schvalování</w:t>
              <w:tab/>
              <w:t>7</w:t>
            </w:r>
          </w:hyperlink>
        </w:p>
        <w:p>
          <w:pPr>
            <w:pStyle w:val="Contents3"/>
            <w:tabs>
              <w:tab w:val="right" w:pos="8504" w:leader="dot"/>
              <w:tab w:val="right" w:pos="9070" w:leader="dot"/>
            </w:tabs>
            <w:rPr/>
          </w:pPr>
          <w:hyperlink w:anchor="__RefHeading___Toc3943_220351804">
            <w:r>
              <w:rPr>
                <w:rStyle w:val="IndexLink"/>
              </w:rPr>
              <w:t>IV.1.3.  Vyúčtování pracovní cesty zaměstnancem</w:t>
              <w:tab/>
              <w:t>7</w:t>
            </w:r>
          </w:hyperlink>
        </w:p>
        <w:p>
          <w:pPr>
            <w:pStyle w:val="Contents3"/>
            <w:tabs>
              <w:tab w:val="right" w:pos="8504" w:leader="dot"/>
              <w:tab w:val="right" w:pos="9070" w:leader="dot"/>
            </w:tabs>
            <w:rPr/>
          </w:pPr>
          <w:hyperlink w:anchor="__RefHeading___Toc3945_220351804">
            <w:r>
              <w:rPr>
                <w:rStyle w:val="IndexLink"/>
              </w:rPr>
              <w:t>IV.1.4.  Zúčtování pracovní cesty zaměstnavatelem</w:t>
              <w:tab/>
              <w:t>7</w:t>
            </w:r>
          </w:hyperlink>
        </w:p>
        <w:p>
          <w:pPr>
            <w:pStyle w:val="Contents2"/>
            <w:tabs>
              <w:tab w:val="right" w:pos="8787" w:leader="dot"/>
              <w:tab w:val="right" w:pos="9070" w:leader="dot"/>
            </w:tabs>
            <w:rPr/>
          </w:pPr>
          <w:hyperlink w:anchor="__RefHeading___Toc3947_220351804">
            <w:r>
              <w:rPr>
                <w:rStyle w:val="IndexLink"/>
              </w:rPr>
              <w:t>IV.2.  Tuzemské pracovní cesty</w:t>
              <w:tab/>
              <w:t>7</w:t>
            </w:r>
          </w:hyperlink>
        </w:p>
        <w:p>
          <w:pPr>
            <w:pStyle w:val="Contents3"/>
            <w:tabs>
              <w:tab w:val="right" w:pos="8504" w:leader="dot"/>
              <w:tab w:val="right" w:pos="9070" w:leader="dot"/>
            </w:tabs>
            <w:rPr/>
          </w:pPr>
          <w:hyperlink w:anchor="__RefHeading___Toc3949_220351804">
            <w:r>
              <w:rPr>
                <w:rStyle w:val="IndexLink"/>
              </w:rPr>
              <w:t>IV.2.1.  Stravné</w:t>
              <w:tab/>
              <w:t>7</w:t>
            </w:r>
          </w:hyperlink>
        </w:p>
        <w:p>
          <w:pPr>
            <w:pStyle w:val="Contents2"/>
            <w:tabs>
              <w:tab w:val="right" w:pos="8787" w:leader="dot"/>
              <w:tab w:val="right" w:pos="9070" w:leader="dot"/>
            </w:tabs>
            <w:rPr/>
          </w:pPr>
          <w:hyperlink w:anchor="__RefHeading___Toc3951_220351804">
            <w:r>
              <w:rPr>
                <w:rStyle w:val="IndexLink"/>
              </w:rPr>
              <w:t>IV.3.  Zahraniční pracovní cesty</w:t>
              <w:tab/>
              <w:t>8</w:t>
            </w:r>
          </w:hyperlink>
        </w:p>
        <w:p>
          <w:pPr>
            <w:pStyle w:val="Contents3"/>
            <w:tabs>
              <w:tab w:val="right" w:pos="8504" w:leader="dot"/>
              <w:tab w:val="right" w:pos="9070" w:leader="dot"/>
            </w:tabs>
            <w:rPr/>
          </w:pPr>
          <w:hyperlink w:anchor="__RefHeading___Toc3953_220351804">
            <w:r>
              <w:rPr>
                <w:rStyle w:val="IndexLink"/>
              </w:rPr>
              <w:t>IV.3.1.  Stravné</w:t>
              <w:tab/>
              <w:t>8</w:t>
            </w:r>
          </w:hyperlink>
        </w:p>
        <w:p>
          <w:pPr>
            <w:pStyle w:val="Contents3"/>
            <w:tabs>
              <w:tab w:val="right" w:pos="8504" w:leader="dot"/>
              <w:tab w:val="right" w:pos="9070" w:leader="dot"/>
            </w:tabs>
            <w:rPr/>
          </w:pPr>
          <w:hyperlink w:anchor="__RefHeading___Toc3955_220351804">
            <w:r>
              <w:rPr>
                <w:rStyle w:val="IndexLink"/>
              </w:rPr>
              <w:t>IV.3.2.  Kapesné</w:t>
              <w:tab/>
              <w:t>8</w:t>
            </w:r>
          </w:hyperlink>
        </w:p>
        <w:p>
          <w:pPr>
            <w:pStyle w:val="Contents3"/>
            <w:tabs>
              <w:tab w:val="right" w:pos="8504" w:leader="dot"/>
              <w:tab w:val="right" w:pos="9070" w:leader="dot"/>
            </w:tabs>
            <w:rPr/>
          </w:pPr>
          <w:hyperlink w:anchor="__RefHeading___Toc3957_220351804">
            <w:r>
              <w:rPr>
                <w:rStyle w:val="IndexLink"/>
              </w:rPr>
              <w:t>IV.3.3.  Zálohy a vyúčtování pracovní cesty</w:t>
              <w:tab/>
              <w:t>8</w:t>
            </w:r>
          </w:hyperlink>
        </w:p>
        <w:p>
          <w:pPr>
            <w:pStyle w:val="Contents2"/>
            <w:tabs>
              <w:tab w:val="right" w:pos="8787" w:leader="dot"/>
              <w:tab w:val="right" w:pos="9070" w:leader="dot"/>
            </w:tabs>
            <w:rPr/>
          </w:pPr>
          <w:hyperlink w:anchor="__RefHeading___Toc3959_220351804">
            <w:r>
              <w:rPr>
                <w:rStyle w:val="IndexLink"/>
              </w:rPr>
              <w:t>IV.4.  Náhrady za použití osobního automobilu na pracovní cestě</w:t>
              <w:tab/>
              <w:t>8</w:t>
            </w:r>
          </w:hyperlink>
        </w:p>
        <w:p>
          <w:pPr>
            <w:pStyle w:val="Contents3"/>
            <w:tabs>
              <w:tab w:val="right" w:pos="8504" w:leader="dot"/>
              <w:tab w:val="right" w:pos="9070" w:leader="dot"/>
            </w:tabs>
            <w:rPr/>
          </w:pPr>
          <w:hyperlink w:anchor="__RefHeading___Toc3961_220351804">
            <w:r>
              <w:rPr>
                <w:rStyle w:val="IndexLink"/>
              </w:rPr>
              <w:t>IV.4.1.  Náhrady jízdného při tuzemské pracovní cestě</w:t>
              <w:tab/>
              <w:t>8</w:t>
            </w:r>
          </w:hyperlink>
        </w:p>
        <w:p>
          <w:pPr>
            <w:pStyle w:val="Contents3"/>
            <w:tabs>
              <w:tab w:val="right" w:pos="8504" w:leader="dot"/>
              <w:tab w:val="right" w:pos="9070" w:leader="dot"/>
            </w:tabs>
            <w:rPr/>
          </w:pPr>
          <w:hyperlink w:anchor="__RefHeading___Toc3963_220351804">
            <w:r>
              <w:rPr>
                <w:rStyle w:val="IndexLink"/>
              </w:rPr>
              <w:t>IV.4.2.  Náhrady při zahraniční pracovní cestě</w:t>
              <w:tab/>
              <w:t>9</w:t>
            </w:r>
          </w:hyperlink>
        </w:p>
        <w:p>
          <w:pPr>
            <w:pStyle w:val="Contents1"/>
            <w:rPr/>
          </w:pPr>
          <w:hyperlink w:anchor="__RefHeading___Toc7642_573671802">
            <w:r>
              <w:rPr>
                <w:rStyle w:val="IndexLink"/>
              </w:rPr>
              <w:t>V.  Kurzové rozdíly</w:t>
              <w:tab/>
              <w:t>10</w:t>
            </w:r>
          </w:hyperlink>
        </w:p>
        <w:p>
          <w:pPr>
            <w:pStyle w:val="Contents2"/>
            <w:tabs>
              <w:tab w:val="right" w:pos="8787" w:leader="dot"/>
              <w:tab w:val="right" w:pos="9070" w:leader="dot"/>
            </w:tabs>
            <w:rPr/>
          </w:pPr>
          <w:hyperlink w:anchor="__RefHeading___Toc3965_220351804">
            <w:r>
              <w:rPr>
                <w:rStyle w:val="IndexLink"/>
              </w:rPr>
              <w:t>V.1.  Úvodní ustanovení</w:t>
              <w:tab/>
              <w:t>10</w:t>
            </w:r>
          </w:hyperlink>
        </w:p>
        <w:p>
          <w:pPr>
            <w:pStyle w:val="Contents2"/>
            <w:tabs>
              <w:tab w:val="right" w:pos="8787" w:leader="dot"/>
              <w:tab w:val="right" w:pos="9070" w:leader="dot"/>
            </w:tabs>
            <w:rPr/>
          </w:pPr>
          <w:hyperlink w:anchor="__RefHeading___Toc3967_220351804">
            <w:r>
              <w:rPr>
                <w:rStyle w:val="IndexLink"/>
              </w:rPr>
              <w:t>V.2.  Stanovení a používání kurzů</w:t>
              <w:tab/>
              <w:t>10</w:t>
            </w:r>
          </w:hyperlink>
        </w:p>
        <w:p>
          <w:pPr>
            <w:pStyle w:val="Contents2"/>
            <w:tabs>
              <w:tab w:val="right" w:pos="8787" w:leader="dot"/>
              <w:tab w:val="right" w:pos="9070" w:leader="dot"/>
            </w:tabs>
            <w:rPr/>
          </w:pPr>
          <w:hyperlink w:anchor="__RefHeading___Toc3969_220351804">
            <w:r>
              <w:rPr>
                <w:rStyle w:val="IndexLink"/>
              </w:rPr>
              <w:t>V.3.  Kurzové rozdíly</w:t>
              <w:tab/>
              <w:t>10</w:t>
            </w:r>
          </w:hyperlink>
        </w:p>
        <w:p>
          <w:pPr>
            <w:pStyle w:val="Contents1"/>
            <w:rPr/>
          </w:pPr>
          <w:hyperlink w:anchor="__RefHeading___Toc6667_173049253">
            <w:r>
              <w:rPr>
                <w:rStyle w:val="IndexLink"/>
              </w:rPr>
              <w:t>VI.  Dlouhodobý a drobný majetek, oceňování, odpisový plán</w:t>
              <w:tab/>
              <w:t>11</w:t>
            </w:r>
          </w:hyperlink>
        </w:p>
        <w:p>
          <w:pPr>
            <w:pStyle w:val="Contents2"/>
            <w:tabs>
              <w:tab w:val="right" w:pos="8787" w:leader="dot"/>
              <w:tab w:val="right" w:pos="9070" w:leader="dot"/>
            </w:tabs>
            <w:rPr/>
          </w:pPr>
          <w:hyperlink w:anchor="__RefHeading___Toc3971_220351804">
            <w:r>
              <w:rPr>
                <w:rStyle w:val="IndexLink"/>
              </w:rPr>
              <w:t>VI.1.  Úvodní ustanovení</w:t>
              <w:tab/>
              <w:t>11</w:t>
            </w:r>
          </w:hyperlink>
        </w:p>
        <w:p>
          <w:pPr>
            <w:pStyle w:val="Contents2"/>
            <w:tabs>
              <w:tab w:val="right" w:pos="8787" w:leader="dot"/>
              <w:tab w:val="right" w:pos="9070" w:leader="dot"/>
            </w:tabs>
            <w:rPr/>
          </w:pPr>
          <w:hyperlink w:anchor="__RefHeading___Toc3973_220351804">
            <w:r>
              <w:rPr>
                <w:rStyle w:val="IndexLink"/>
              </w:rPr>
              <w:t>VI.2.  Základní pojmy a jejich vymezení</w:t>
              <w:tab/>
              <w:t>11</w:t>
            </w:r>
          </w:hyperlink>
        </w:p>
        <w:p>
          <w:pPr>
            <w:pStyle w:val="Contents2"/>
            <w:tabs>
              <w:tab w:val="right" w:pos="8787" w:leader="dot"/>
              <w:tab w:val="right" w:pos="9070" w:leader="dot"/>
            </w:tabs>
            <w:rPr/>
          </w:pPr>
          <w:hyperlink w:anchor="__RefHeading___Toc3975_220351804">
            <w:r>
              <w:rPr>
                <w:rStyle w:val="IndexLink"/>
              </w:rPr>
              <w:t>VI.3.  Oceňování majetku a závazků</w:t>
              <w:tab/>
              <w:t>11</w:t>
            </w:r>
          </w:hyperlink>
        </w:p>
        <w:p>
          <w:pPr>
            <w:pStyle w:val="Contents2"/>
            <w:tabs>
              <w:tab w:val="right" w:pos="8787" w:leader="dot"/>
              <w:tab w:val="right" w:pos="9070" w:leader="dot"/>
            </w:tabs>
            <w:rPr/>
          </w:pPr>
          <w:hyperlink w:anchor="__RefHeading___Toc3977_220351804">
            <w:r>
              <w:rPr>
                <w:rStyle w:val="IndexLink"/>
              </w:rPr>
              <w:t>VI.4.  Pořízení dlouhodobého majetku</w:t>
              <w:tab/>
              <w:t>11</w:t>
            </w:r>
          </w:hyperlink>
        </w:p>
        <w:p>
          <w:pPr>
            <w:pStyle w:val="Contents2"/>
            <w:tabs>
              <w:tab w:val="right" w:pos="8787" w:leader="dot"/>
              <w:tab w:val="right" w:pos="9070" w:leader="dot"/>
            </w:tabs>
            <w:rPr/>
          </w:pPr>
          <w:hyperlink w:anchor="__RefHeading___Toc3979_220351804">
            <w:r>
              <w:rPr>
                <w:rStyle w:val="IndexLink"/>
              </w:rPr>
              <w:t>VI.5.  Odepisování</w:t>
              <w:tab/>
              <w:t>12</w:t>
            </w:r>
          </w:hyperlink>
        </w:p>
        <w:p>
          <w:pPr>
            <w:pStyle w:val="Contents3"/>
            <w:tabs>
              <w:tab w:val="right" w:pos="8504" w:leader="dot"/>
              <w:tab w:val="right" w:pos="9070" w:leader="dot"/>
            </w:tabs>
            <w:rPr/>
          </w:pPr>
          <w:hyperlink w:anchor="__RefHeading___Toc3981_220351804">
            <w:r>
              <w:rPr>
                <w:rStyle w:val="IndexLink"/>
              </w:rPr>
              <w:t>VI.5.1.  Doba životnosti pro jednotlivé skupiny majetku</w:t>
              <w:tab/>
              <w:t>12</w:t>
            </w:r>
          </w:hyperlink>
        </w:p>
        <w:p>
          <w:pPr>
            <w:pStyle w:val="Contents2"/>
            <w:tabs>
              <w:tab w:val="right" w:pos="8787" w:leader="dot"/>
              <w:tab w:val="right" w:pos="9070" w:leader="dot"/>
            </w:tabs>
            <w:rPr/>
          </w:pPr>
          <w:hyperlink w:anchor="__RefHeading___Toc3983_220351804">
            <w:r>
              <w:rPr>
                <w:rStyle w:val="IndexLink"/>
              </w:rPr>
              <w:t>VI.6.  Vyřazení majetku</w:t>
              <w:tab/>
              <w:t>13</w:t>
            </w:r>
          </w:hyperlink>
        </w:p>
        <w:p>
          <w:pPr>
            <w:pStyle w:val="Contents1"/>
            <w:rPr/>
          </w:pPr>
          <w:hyperlink w:anchor="__RefHeading___Toc6759_173049253">
            <w:r>
              <w:rPr>
                <w:rStyle w:val="IndexLink"/>
              </w:rPr>
              <w:t>VII.  Pokladní limit</w:t>
              <w:tab/>
              <w:t>14</w:t>
            </w:r>
          </w:hyperlink>
        </w:p>
        <w:p>
          <w:pPr>
            <w:pStyle w:val="Contents1"/>
            <w:rPr/>
          </w:pPr>
          <w:hyperlink w:anchor="__RefHeading___Toc6751_173049253">
            <w:r>
              <w:rPr>
                <w:rStyle w:val="IndexLink"/>
              </w:rPr>
              <w:t>VIII.  Časové rozlišení</w:t>
              <w:tab/>
              <w:t>15</w:t>
            </w:r>
          </w:hyperlink>
        </w:p>
        <w:p>
          <w:pPr>
            <w:pStyle w:val="Contents2"/>
            <w:tabs>
              <w:tab w:val="right" w:pos="8787" w:leader="dot"/>
              <w:tab w:val="right" w:pos="9070" w:leader="dot"/>
            </w:tabs>
            <w:rPr/>
          </w:pPr>
          <w:hyperlink w:anchor="__RefHeading___Toc3985_220351804">
            <w:r>
              <w:rPr>
                <w:rStyle w:val="IndexLink"/>
              </w:rPr>
              <w:t>VIII.1.  Úvodní ustanovení</w:t>
              <w:tab/>
              <w:t>15</w:t>
            </w:r>
          </w:hyperlink>
        </w:p>
        <w:p>
          <w:pPr>
            <w:pStyle w:val="Contents2"/>
            <w:tabs>
              <w:tab w:val="right" w:pos="8787" w:leader="dot"/>
              <w:tab w:val="right" w:pos="9070" w:leader="dot"/>
            </w:tabs>
            <w:rPr/>
          </w:pPr>
          <w:hyperlink w:anchor="__RefHeading___Toc3987_220351804">
            <w:r>
              <w:rPr>
                <w:rStyle w:val="IndexLink"/>
              </w:rPr>
              <w:t>VIII.2.  Výjimky z časového rozlišení</w:t>
              <w:tab/>
              <w:t>15</w:t>
            </w:r>
          </w:hyperlink>
        </w:p>
        <w:p>
          <w:pPr>
            <w:pStyle w:val="Contents2"/>
            <w:tabs>
              <w:tab w:val="right" w:pos="8787" w:leader="dot"/>
              <w:tab w:val="right" w:pos="9070" w:leader="dot"/>
            </w:tabs>
            <w:rPr/>
          </w:pPr>
          <w:hyperlink w:anchor="__RefHeading___Toc3989_220351804">
            <w:r>
              <w:rPr>
                <w:rStyle w:val="IndexLink"/>
              </w:rPr>
              <w:t>VIII.3.  Základní pravidla pro časové rozlišení nákladů a výnosů</w:t>
              <w:tab/>
              <w:t>15</w:t>
            </w:r>
          </w:hyperlink>
        </w:p>
        <w:p>
          <w:pPr>
            <w:pStyle w:val="Contents2"/>
            <w:tabs>
              <w:tab w:val="right" w:pos="8787" w:leader="dot"/>
              <w:tab w:val="right" w:pos="9070" w:leader="dot"/>
            </w:tabs>
            <w:rPr/>
          </w:pPr>
          <w:hyperlink w:anchor="__RefHeading___Toc3991_220351804">
            <w:r>
              <w:rPr>
                <w:rStyle w:val="IndexLink"/>
              </w:rPr>
              <w:t>VIII.4.  Dohadné položky</w:t>
              <w:tab/>
              <w:t>16</w:t>
            </w:r>
          </w:hyperlink>
        </w:p>
        <w:p>
          <w:pPr>
            <w:pStyle w:val="Contents1"/>
            <w:rPr/>
          </w:pPr>
          <w:hyperlink w:anchor="__RefHeading___Toc6761_173049253">
            <w:r>
              <w:rPr>
                <w:rStyle w:val="IndexLink"/>
              </w:rPr>
              <w:t>IX.  Opravné položky, odpis pohledávek, rezervy</w:t>
              <w:tab/>
              <w:t>17</w:t>
            </w:r>
          </w:hyperlink>
        </w:p>
        <w:p>
          <w:pPr>
            <w:pStyle w:val="Contents2"/>
            <w:tabs>
              <w:tab w:val="right" w:pos="8787" w:leader="dot"/>
              <w:tab w:val="right" w:pos="9070" w:leader="dot"/>
            </w:tabs>
            <w:rPr/>
          </w:pPr>
          <w:hyperlink w:anchor="__RefHeading___Toc3993_220351804">
            <w:r>
              <w:rPr>
                <w:rStyle w:val="IndexLink"/>
              </w:rPr>
              <w:t>IX.1.  Opravné položky a odpis pohledávek</w:t>
              <w:tab/>
              <w:t>17</w:t>
            </w:r>
          </w:hyperlink>
        </w:p>
        <w:p>
          <w:pPr>
            <w:pStyle w:val="Contents2"/>
            <w:tabs>
              <w:tab w:val="right" w:pos="8787" w:leader="dot"/>
              <w:tab w:val="right" w:pos="9070" w:leader="dot"/>
            </w:tabs>
            <w:rPr/>
          </w:pPr>
          <w:hyperlink w:anchor="__RefHeading___Toc3995_220351804">
            <w:r>
              <w:rPr>
                <w:rStyle w:val="IndexLink"/>
              </w:rPr>
              <w:t>IX.2.  Zásady pro tvorbu a používání rezerv</w:t>
              <w:tab/>
              <w:t>17</w:t>
            </w:r>
          </w:hyperlink>
        </w:p>
        <w:p>
          <w:pPr>
            <w:pStyle w:val="Contents1"/>
            <w:rPr/>
          </w:pPr>
          <w:hyperlink w:anchor="__RefHeading___Toc6753_173049253">
            <w:r>
              <w:rPr>
                <w:rStyle w:val="IndexLink"/>
              </w:rPr>
              <w:t>X.  Dary, dotace, fondové hospodaření</w:t>
              <w:tab/>
              <w:t>18</w:t>
            </w:r>
          </w:hyperlink>
        </w:p>
        <w:p>
          <w:pPr>
            <w:pStyle w:val="Contents2"/>
            <w:tabs>
              <w:tab w:val="right" w:pos="8787" w:leader="dot"/>
              <w:tab w:val="right" w:pos="9070" w:leader="dot"/>
            </w:tabs>
            <w:rPr/>
          </w:pPr>
          <w:hyperlink w:anchor="__RefHeading___Toc3997_220351804">
            <w:r>
              <w:rPr>
                <w:rStyle w:val="IndexLink"/>
              </w:rPr>
              <w:t>X.1.  Dary, tvorba a zúčtování fondů</w:t>
              <w:tab/>
              <w:t>18</w:t>
            </w:r>
          </w:hyperlink>
        </w:p>
        <w:p>
          <w:pPr>
            <w:pStyle w:val="Contents2"/>
            <w:tabs>
              <w:tab w:val="right" w:pos="8787" w:leader="dot"/>
              <w:tab w:val="right" w:pos="9070" w:leader="dot"/>
            </w:tabs>
            <w:rPr/>
          </w:pPr>
          <w:hyperlink w:anchor="__RefHeading___Toc3999_220351804">
            <w:r>
              <w:rPr>
                <w:rStyle w:val="IndexLink"/>
              </w:rPr>
              <w:t>X.2.  Dotace, tvorba a zúčtování fondů</w:t>
              <w:tab/>
              <w:t>18</w:t>
            </w:r>
          </w:hyperlink>
        </w:p>
        <w:p>
          <w:pPr>
            <w:pStyle w:val="Contents1"/>
            <w:rPr/>
          </w:pPr>
          <w:hyperlink w:anchor="__RefHeading___Toc6755_173049253">
            <w:r>
              <w:rPr>
                <w:rStyle w:val="IndexLink"/>
              </w:rPr>
              <w:t>XI.  Členské příspěvky</w:t>
              <w:tab/>
              <w:t>20</w:t>
            </w:r>
          </w:hyperlink>
        </w:p>
        <w:p>
          <w:pPr>
            <w:pStyle w:val="Contents1"/>
            <w:rPr/>
          </w:pPr>
          <w:hyperlink w:anchor="__RefHeading___Toc4001_220351804">
            <w:r>
              <w:rPr>
                <w:rStyle w:val="IndexLink"/>
              </w:rPr>
              <w:t>XII.  Hlavní a vedlejší činnost organizace</w:t>
              <w:tab/>
              <w:t>21</w:t>
            </w:r>
          </w:hyperlink>
        </w:p>
        <w:p>
          <w:pPr>
            <w:pStyle w:val="Contents1"/>
            <w:rPr/>
          </w:pPr>
          <w:hyperlink w:anchor="__RefHeading___Toc2607_1776084317">
            <w:r>
              <w:rPr>
                <w:rStyle w:val="IndexLink"/>
              </w:rPr>
              <w:t>XIII.  Daňová klasifikace výnosů</w:t>
              <w:tab/>
              <w:t>22</w:t>
            </w:r>
          </w:hyperlink>
        </w:p>
        <w:p>
          <w:pPr>
            <w:pStyle w:val="Contents2"/>
            <w:tabs>
              <w:tab w:val="right" w:pos="8787" w:leader="dot"/>
              <w:tab w:val="right" w:pos="9070" w:leader="dot"/>
            </w:tabs>
            <w:rPr/>
          </w:pPr>
          <w:hyperlink w:anchor="__RefHeading___Toc2609_1776084317">
            <w:r>
              <w:rPr>
                <w:rStyle w:val="IndexLink"/>
              </w:rPr>
              <w:t>XIII.1.  Klasifikace z pohledu daně z příjmů</w:t>
              <w:tab/>
              <w:t>22</w:t>
            </w:r>
          </w:hyperlink>
        </w:p>
        <w:p>
          <w:pPr>
            <w:pStyle w:val="Contents2"/>
            <w:tabs>
              <w:tab w:val="right" w:pos="8787" w:leader="dot"/>
              <w:tab w:val="right" w:pos="9070" w:leader="dot"/>
            </w:tabs>
            <w:rPr/>
          </w:pPr>
          <w:hyperlink w:anchor="__RefHeading___Toc2611_1776084317">
            <w:r>
              <w:rPr>
                <w:rStyle w:val="IndexLink"/>
              </w:rPr>
              <w:t>XIII.2.  Klasifikace výnosů z pohledu DPH</w:t>
              <w:tab/>
              <w:t>22</w:t>
            </w:r>
          </w:hyperlink>
        </w:p>
        <w:p>
          <w:pPr>
            <w:pStyle w:val="Contents1"/>
            <w:rPr/>
          </w:pPr>
          <w:hyperlink w:anchor="__RefHeading___Toc6669_173049253">
            <w:r>
              <w:rPr>
                <w:rStyle w:val="IndexLink"/>
              </w:rPr>
              <w:t>XIV.  Inventarizace majetku a závazků</w:t>
              <w:tab/>
              <w:t>23</w:t>
            </w:r>
          </w:hyperlink>
        </w:p>
        <w:p>
          <w:pPr>
            <w:pStyle w:val="Contents3"/>
            <w:tabs>
              <w:tab w:val="right" w:pos="8504" w:leader="dot"/>
              <w:tab w:val="right" w:pos="9070" w:leader="dot"/>
            </w:tabs>
            <w:rPr/>
          </w:pPr>
          <w:hyperlink w:anchor="__RefHeading___Toc4035_220351804">
            <w:r>
              <w:rPr>
                <w:rStyle w:val="IndexLink"/>
              </w:rPr>
              <w:t>XIV.1.1.  Termíny provádění inventarizací</w:t>
              <w:tab/>
              <w:t>23</w:t>
            </w:r>
          </w:hyperlink>
        </w:p>
        <w:p>
          <w:pPr>
            <w:pStyle w:val="Contents3"/>
            <w:tabs>
              <w:tab w:val="right" w:pos="8504" w:leader="dot"/>
              <w:tab w:val="right" w:pos="9070" w:leader="dot"/>
            </w:tabs>
            <w:rPr/>
          </w:pPr>
          <w:hyperlink w:anchor="__RefHeading___Toc4037_220351804">
            <w:r>
              <w:rPr>
                <w:rStyle w:val="IndexLink"/>
              </w:rPr>
              <w:t>XIV.1.2.  Inventuru provádí a za její provedení je odpovědná inventarizační komise, kterou tvoří:</w:t>
              <w:tab/>
              <w:t>23</w:t>
            </w:r>
          </w:hyperlink>
        </w:p>
        <w:p>
          <w:pPr>
            <w:pStyle w:val="Contents3"/>
            <w:tabs>
              <w:tab w:val="right" w:pos="8504" w:leader="dot"/>
              <w:tab w:val="right" w:pos="9070" w:leader="dot"/>
            </w:tabs>
            <w:rPr/>
          </w:pPr>
          <w:hyperlink w:anchor="__RefHeading___Toc4039_220351804">
            <w:r>
              <w:rPr>
                <w:rStyle w:val="IndexLink"/>
              </w:rPr>
              <w:t>XIV.1.3.  Náležitosti inventurních soupisů</w:t>
              <w:tab/>
              <w:t>23</w:t>
            </w:r>
          </w:hyperlink>
        </w:p>
        <w:p>
          <w:pPr>
            <w:pStyle w:val="Contents1"/>
            <w:rPr/>
          </w:pPr>
          <w:hyperlink w:anchor="__RefHeading___Toc7644_573671802">
            <w:r>
              <w:rPr>
                <w:rStyle w:val="IndexLink"/>
              </w:rPr>
              <w:t>XV.  Účetní závěrka</w:t>
              <w:tab/>
              <w:t>24</w:t>
            </w:r>
          </w:hyperlink>
        </w:p>
        <w:p>
          <w:pPr>
            <w:pStyle w:val="Contents2"/>
            <w:tabs>
              <w:tab w:val="right" w:pos="8787" w:leader="dot"/>
              <w:tab w:val="right" w:pos="9070" w:leader="dot"/>
            </w:tabs>
            <w:rPr/>
          </w:pPr>
          <w:hyperlink w:anchor="__RefHeading___Toc4041_220351804">
            <w:r>
              <w:rPr>
                <w:rStyle w:val="IndexLink"/>
              </w:rPr>
              <w:t>XV.1.  Účetní uzávěrka</w:t>
              <w:tab/>
              <w:t>24</w:t>
            </w:r>
          </w:hyperlink>
        </w:p>
        <w:p>
          <w:pPr>
            <w:pStyle w:val="Contents2"/>
            <w:tabs>
              <w:tab w:val="right" w:pos="8787" w:leader="dot"/>
              <w:tab w:val="right" w:pos="9070" w:leader="dot"/>
            </w:tabs>
            <w:rPr/>
          </w:pPr>
          <w:hyperlink w:anchor="__RefHeading___Toc4043_220351804">
            <w:r>
              <w:rPr>
                <w:rStyle w:val="IndexLink"/>
              </w:rPr>
              <w:t>XV.2.  Sestavení účetní závěrky, přiznání k dani z příjmů a výroční zprávy</w:t>
              <w:tab/>
              <w:t>24</w:t>
            </w:r>
          </w:hyperlink>
        </w:p>
        <w:p>
          <w:pPr>
            <w:pStyle w:val="Contents2"/>
            <w:tabs>
              <w:tab w:val="right" w:pos="8787" w:leader="dot"/>
              <w:tab w:val="right" w:pos="9070" w:leader="dot"/>
            </w:tabs>
            <w:rPr/>
          </w:pPr>
          <w:hyperlink w:anchor="__RefHeading___Toc4045_220351804">
            <w:r>
              <w:rPr>
                <w:rStyle w:val="IndexLink"/>
              </w:rPr>
              <w:t>XV.3.  Zajištění bilanční kontinuity</w:t>
              <w:tab/>
              <w:t>24</w:t>
            </w:r>
          </w:hyperlink>
        </w:p>
        <w:p>
          <w:pPr>
            <w:pStyle w:val="Contents2"/>
            <w:tabs>
              <w:tab w:val="right" w:pos="8787" w:leader="dot"/>
              <w:tab w:val="right" w:pos="9070" w:leader="dot"/>
            </w:tabs>
            <w:rPr/>
          </w:pPr>
          <w:hyperlink w:anchor="__RefHeading___Toc4047_220351804">
            <w:r>
              <w:rPr>
                <w:rStyle w:val="IndexLink"/>
              </w:rPr>
              <w:t>XV.4.  Schválení a zveřejnění účetní závěrky</w:t>
              <w:tab/>
              <w:t>24</w:t>
            </w:r>
          </w:hyperlink>
        </w:p>
        <w:p>
          <w:pPr>
            <w:pStyle w:val="Contents1"/>
            <w:rPr/>
          </w:pPr>
          <w:hyperlink w:anchor="__RefHeading___Toc4049_220351804">
            <w:r>
              <w:rPr>
                <w:rStyle w:val="IndexLink"/>
              </w:rPr>
              <w:t>XVI.  Skartace a archivace</w:t>
              <w:tab/>
              <w:t>25</w:t>
            </w:r>
          </w:hyperlink>
        </w:p>
        <w:p>
          <w:pPr>
            <w:pStyle w:val="Contents2"/>
            <w:tabs>
              <w:tab w:val="right" w:pos="8787" w:leader="dot"/>
              <w:tab w:val="right" w:pos="9070" w:leader="dot"/>
            </w:tabs>
            <w:rPr/>
          </w:pPr>
          <w:hyperlink w:anchor="__RefHeading___Toc4051_220351804">
            <w:r>
              <w:rPr>
                <w:rStyle w:val="IndexLink"/>
              </w:rPr>
              <w:t>XVI.1.  Účetní doklady</w:t>
              <w:tab/>
              <w:t>25</w:t>
            </w:r>
          </w:hyperlink>
        </w:p>
        <w:p>
          <w:pPr>
            <w:pStyle w:val="Contents2"/>
            <w:tabs>
              <w:tab w:val="right" w:pos="8787" w:leader="dot"/>
              <w:tab w:val="right" w:pos="9070" w:leader="dot"/>
            </w:tabs>
            <w:rPr/>
          </w:pPr>
          <w:hyperlink w:anchor="__RefHeading___Toc4053_220351804">
            <w:r>
              <w:rPr>
                <w:rStyle w:val="IndexLink"/>
              </w:rPr>
              <w:t>XVI.2.  Skartace</w:t>
              <w:tab/>
              <w:t>25</w:t>
            </w:r>
          </w:hyperlink>
        </w:p>
        <w:p>
          <w:pPr>
            <w:pStyle w:val="Contents1"/>
            <w:rPr/>
          </w:pPr>
          <w:hyperlink w:anchor="__RefHeading___Toc6671_173049253">
            <w:r>
              <w:rPr>
                <w:rStyle w:val="IndexLink"/>
              </w:rPr>
              <w:t>XVII.  Opravy účtování minulých let</w:t>
              <w:tab/>
              <w:t>26</w:t>
            </w:r>
          </w:hyperlink>
        </w:p>
        <w:p>
          <w:pPr>
            <w:pStyle w:val="Contents1"/>
            <w:rPr/>
          </w:pPr>
          <w:hyperlink w:anchor="__RefHeading___Toc6757_173049253">
            <w:r>
              <w:rPr>
                <w:rStyle w:val="IndexLink"/>
              </w:rPr>
              <w:t>XVIII.  Přílohy</w:t>
              <w:tab/>
              <w:t>27</w:t>
            </w:r>
          </w:hyperlink>
          <w:r>
            <w:rPr>
              <w:rStyle w:val="IndexLink"/>
            </w:rPr>
            <w:fldChar w:fldCharType="end"/>
          </w:r>
        </w:p>
      </w:sdtContent>
    </w:sdt>
    <w:p>
      <w:pPr>
        <w:pStyle w:val="Normal"/>
        <w:rPr>
          <w:rFonts w:ascii="Arial" w:hAnsi="Arial" w:cs="Arial"/>
          <w:sz w:val="28"/>
          <w:szCs w:val="28"/>
        </w:rPr>
      </w:pPr>
      <w:r>
        <w:rPr>
          <w:rFonts w:cs="Arial"/>
          <w:sz w:val="28"/>
          <w:szCs w:val="28"/>
        </w:rPr>
      </w:r>
    </w:p>
    <w:p>
      <w:pPr>
        <w:pStyle w:val="Normal"/>
        <w:rPr>
          <w:rFonts w:ascii="Arial" w:hAnsi="Arial" w:cs="Arial"/>
          <w:sz w:val="28"/>
          <w:szCs w:val="28"/>
        </w:rPr>
      </w:pPr>
      <w:r>
        <w:rPr>
          <w:rFonts w:cs="Arial"/>
          <w:sz w:val="28"/>
          <w:szCs w:val="28"/>
        </w:rPr>
      </w:r>
    </w:p>
    <w:p>
      <w:pPr>
        <w:pStyle w:val="Normal"/>
        <w:rPr>
          <w:rFonts w:ascii="Arial" w:hAnsi="Arial" w:eastAsia="Arial" w:cs="Arial"/>
          <w:sz w:val="24"/>
          <w:szCs w:val="24"/>
        </w:rPr>
      </w:pPr>
      <w:r>
        <w:rPr>
          <w:rFonts w:eastAsia="Arial" w:cs="Arial"/>
          <w:sz w:val="24"/>
          <w:szCs w:val="24"/>
        </w:rPr>
      </w:r>
    </w:p>
    <w:p>
      <w:pPr>
        <w:pStyle w:val="Normal"/>
        <w:rPr>
          <w:rFonts w:ascii="Arial" w:hAnsi="Arial" w:eastAsia="Arial" w:cs="Arial"/>
          <w:b/>
          <w:b/>
          <w:bCs/>
          <w:sz w:val="28"/>
          <w:szCs w:val="28"/>
        </w:rPr>
      </w:pPr>
      <w:r>
        <w:rPr>
          <w:rFonts w:eastAsia="Arial" w:cs="Arial"/>
          <w:b/>
          <w:bCs/>
          <w:sz w:val="28"/>
          <w:szCs w:val="28"/>
        </w:rPr>
      </w:r>
      <w:r>
        <w:br w:type="page"/>
      </w:r>
    </w:p>
    <w:p>
      <w:pPr>
        <w:pStyle w:val="Heading1"/>
        <w:numPr>
          <w:ilvl w:val="0"/>
          <w:numId w:val="2"/>
        </w:numPr>
        <w:ind w:left="0" w:right="0" w:hanging="0"/>
        <w:rPr/>
      </w:pPr>
      <w:bookmarkStart w:id="0" w:name="__RefHeading___Toc7638_573671802"/>
      <w:bookmarkEnd w:id="0"/>
      <w:r>
        <w:rPr/>
        <w:t>Rozdělení odpovědností v oblasti ekonomiky a účetnictví</w:t>
      </w:r>
    </w:p>
    <w:p>
      <w:pPr>
        <w:pStyle w:val="Normal"/>
        <w:jc w:val="both"/>
        <w:rPr>
          <w:rFonts w:ascii="Arial" w:hAnsi="Arial" w:cs="Arial"/>
          <w:b/>
          <w:b/>
          <w:bCs/>
          <w:sz w:val="28"/>
          <w:szCs w:val="28"/>
        </w:rPr>
      </w:pPr>
      <w:r>
        <w:rPr>
          <w:rFonts w:cs="Arial"/>
          <w:b/>
          <w:bCs/>
          <w:sz w:val="28"/>
          <w:szCs w:val="28"/>
        </w:rPr>
      </w:r>
    </w:p>
    <w:p>
      <w:pPr>
        <w:pStyle w:val="Heading2"/>
        <w:numPr>
          <w:ilvl w:val="1"/>
          <w:numId w:val="2"/>
        </w:numPr>
        <w:rPr/>
      </w:pPr>
      <w:bookmarkStart w:id="1" w:name="__RefHeading___Toc5001_3590462016"/>
      <w:bookmarkEnd w:id="1"/>
      <w:r>
        <w:rPr/>
        <w:t>Hlavní účetní – externí účetní firma XXX</w:t>
      </w:r>
    </w:p>
    <w:p>
      <w:pPr>
        <w:pStyle w:val="Normal"/>
        <w:numPr>
          <w:ilvl w:val="0"/>
          <w:numId w:val="7"/>
        </w:numPr>
        <w:tabs>
          <w:tab w:val="left" w:pos="0" w:leader="none"/>
          <w:tab w:val="left" w:pos="708" w:leader="none"/>
          <w:tab w:val="left" w:pos="720" w:leader="none"/>
        </w:tabs>
        <w:jc w:val="both"/>
        <w:rPr>
          <w:rFonts w:ascii="Arial" w:hAnsi="Arial" w:cs="Arial"/>
          <w:lang w:bidi="zxx"/>
        </w:rPr>
      </w:pPr>
      <w:r>
        <w:rPr>
          <w:rFonts w:cs="Arial"/>
          <w:lang w:bidi="zxx"/>
        </w:rPr>
        <w:t>účtování všech účetních případů organizace včetně účetních případů vztahujících se k přijatým příspěvkům dle dokladů získaných měsíčně od finančního manažera organizace</w:t>
      </w:r>
    </w:p>
    <w:p>
      <w:pPr>
        <w:pStyle w:val="Normal"/>
        <w:numPr>
          <w:ilvl w:val="0"/>
          <w:numId w:val="7"/>
        </w:numPr>
        <w:tabs>
          <w:tab w:val="left" w:pos="0" w:leader="none"/>
          <w:tab w:val="left" w:pos="708" w:leader="none"/>
          <w:tab w:val="left" w:pos="720" w:leader="none"/>
        </w:tabs>
        <w:jc w:val="both"/>
        <w:rPr>
          <w:rFonts w:ascii="Arial" w:hAnsi="Arial" w:cs="Arial"/>
          <w:lang w:bidi="zxx"/>
        </w:rPr>
      </w:pPr>
      <w:r>
        <w:rPr>
          <w:rFonts w:cs="Arial"/>
          <w:lang w:bidi="zxx"/>
        </w:rPr>
        <w:t>zpracování kompletního mzdového účetnictví</w:t>
      </w:r>
    </w:p>
    <w:p>
      <w:pPr>
        <w:pStyle w:val="Normal"/>
        <w:numPr>
          <w:ilvl w:val="0"/>
          <w:numId w:val="7"/>
        </w:numPr>
        <w:tabs>
          <w:tab w:val="left" w:pos="0" w:leader="none"/>
          <w:tab w:val="left" w:pos="708" w:leader="none"/>
          <w:tab w:val="left" w:pos="720" w:leader="none"/>
        </w:tabs>
        <w:jc w:val="both"/>
        <w:rPr>
          <w:rFonts w:ascii="Arial" w:hAnsi="Arial" w:cs="Arial"/>
          <w:lang w:bidi="zxx"/>
        </w:rPr>
      </w:pPr>
      <w:r>
        <w:rPr>
          <w:rFonts w:cs="Arial"/>
          <w:lang w:bidi="zxx"/>
        </w:rPr>
        <w:t>vedení účetních knih</w:t>
      </w:r>
    </w:p>
    <w:p>
      <w:pPr>
        <w:pStyle w:val="Normal"/>
        <w:numPr>
          <w:ilvl w:val="0"/>
          <w:numId w:val="7"/>
        </w:numPr>
        <w:tabs>
          <w:tab w:val="left" w:pos="0" w:leader="none"/>
          <w:tab w:val="left" w:pos="708" w:leader="none"/>
          <w:tab w:val="left" w:pos="720" w:leader="none"/>
        </w:tabs>
        <w:jc w:val="both"/>
        <w:rPr>
          <w:rFonts w:ascii="Arial" w:hAnsi="Arial" w:cs="Arial"/>
          <w:lang w:bidi="zxx"/>
        </w:rPr>
      </w:pPr>
      <w:r>
        <w:rPr>
          <w:rFonts w:cs="Arial"/>
          <w:lang w:bidi="zxx"/>
        </w:rPr>
        <w:t>pololetní (případně na vyžádání) předkládání účetních sestav k jednotlivým střediskům včetně pokladní knihy</w:t>
      </w:r>
    </w:p>
    <w:p>
      <w:pPr>
        <w:pStyle w:val="Normal"/>
        <w:numPr>
          <w:ilvl w:val="0"/>
          <w:numId w:val="7"/>
        </w:numPr>
        <w:tabs>
          <w:tab w:val="left" w:pos="0" w:leader="none"/>
          <w:tab w:val="left" w:pos="708" w:leader="none"/>
          <w:tab w:val="left" w:pos="720" w:leader="none"/>
        </w:tabs>
        <w:jc w:val="both"/>
        <w:rPr>
          <w:rFonts w:ascii="Arial" w:hAnsi="Arial" w:cs="Arial"/>
          <w:lang w:bidi="zxx"/>
        </w:rPr>
      </w:pPr>
      <w:r>
        <w:rPr>
          <w:rFonts w:cs="Arial"/>
          <w:lang w:bidi="zxx"/>
        </w:rPr>
        <w:t>provádění inventarizace dle termínů stanovených níže touto směrnicí a předání inventurních soupisů finanční manažerce organizace</w:t>
      </w:r>
    </w:p>
    <w:p>
      <w:pPr>
        <w:pStyle w:val="Normal"/>
        <w:numPr>
          <w:ilvl w:val="0"/>
          <w:numId w:val="7"/>
        </w:numPr>
        <w:tabs>
          <w:tab w:val="left" w:pos="0" w:leader="none"/>
          <w:tab w:val="left" w:pos="708" w:leader="none"/>
          <w:tab w:val="left" w:pos="720" w:leader="none"/>
        </w:tabs>
        <w:jc w:val="both"/>
        <w:rPr>
          <w:rFonts w:ascii="Arial" w:hAnsi="Arial" w:cs="Arial"/>
          <w:lang w:bidi="zxx"/>
        </w:rPr>
      </w:pPr>
      <w:r>
        <w:rPr>
          <w:rFonts w:cs="Arial"/>
          <w:lang w:bidi="zxx"/>
        </w:rPr>
        <w:t>zpracování daňových povinností a povinností souvisejících se mzdovými předpisy</w:t>
      </w:r>
    </w:p>
    <w:p>
      <w:pPr>
        <w:pStyle w:val="Normal"/>
        <w:numPr>
          <w:ilvl w:val="0"/>
          <w:numId w:val="7"/>
        </w:numPr>
        <w:tabs>
          <w:tab w:val="left" w:pos="0" w:leader="none"/>
          <w:tab w:val="left" w:pos="708" w:leader="none"/>
          <w:tab w:val="left" w:pos="720" w:leader="none"/>
        </w:tabs>
        <w:jc w:val="both"/>
        <w:rPr>
          <w:rFonts w:ascii="Arial" w:hAnsi="Arial" w:cs="Arial"/>
          <w:lang w:bidi="zxx"/>
        </w:rPr>
      </w:pPr>
      <w:r>
        <w:rPr>
          <w:rFonts w:cs="Arial"/>
          <w:lang w:bidi="zxx"/>
        </w:rPr>
        <w:t>zastoupení organizace na základě plné moci při jednání s orgány finančního úřadu, státní správy a zdravotních pojišťoven</w:t>
      </w:r>
    </w:p>
    <w:p>
      <w:pPr>
        <w:pStyle w:val="Normal"/>
        <w:numPr>
          <w:ilvl w:val="0"/>
          <w:numId w:val="7"/>
        </w:numPr>
        <w:tabs>
          <w:tab w:val="left" w:pos="0" w:leader="none"/>
          <w:tab w:val="left" w:pos="708" w:leader="none"/>
          <w:tab w:val="left" w:pos="720" w:leader="none"/>
        </w:tabs>
        <w:jc w:val="both"/>
        <w:rPr>
          <w:rFonts w:ascii="Arial" w:hAnsi="Arial" w:cs="Arial"/>
          <w:lang w:bidi="zxx"/>
        </w:rPr>
      </w:pPr>
      <w:r>
        <w:rPr>
          <w:rFonts w:cs="Arial"/>
          <w:lang w:bidi="zxx"/>
        </w:rPr>
        <w:t>každoroční ukládání kompletní účetní závěrky a výroční zprávy do veřejného rejstříku</w:t>
      </w:r>
    </w:p>
    <w:p>
      <w:pPr>
        <w:pStyle w:val="Normal"/>
        <w:numPr>
          <w:ilvl w:val="0"/>
          <w:numId w:val="7"/>
        </w:numPr>
        <w:tabs>
          <w:tab w:val="left" w:pos="0" w:leader="none"/>
          <w:tab w:val="left" w:pos="708" w:leader="none"/>
          <w:tab w:val="left" w:pos="720" w:leader="none"/>
        </w:tabs>
        <w:jc w:val="both"/>
        <w:rPr>
          <w:rFonts w:ascii="Arial" w:hAnsi="Arial" w:cs="Arial"/>
          <w:lang w:bidi="zxx"/>
        </w:rPr>
      </w:pPr>
      <w:r>
        <w:rPr>
          <w:rFonts w:cs="Arial"/>
          <w:lang w:bidi="zxx"/>
        </w:rPr>
        <w:t>zpracování případných povinných hlášení požadovaných ČSÚ</w:t>
      </w:r>
    </w:p>
    <w:p>
      <w:pPr>
        <w:pStyle w:val="Normal"/>
        <w:jc w:val="both"/>
        <w:rPr>
          <w:rFonts w:ascii="Arial" w:hAnsi="Arial" w:cs="Arial"/>
        </w:rPr>
      </w:pPr>
      <w:r>
        <w:rPr>
          <w:rFonts w:cs="Arial"/>
        </w:rPr>
      </w:r>
    </w:p>
    <w:p>
      <w:pPr>
        <w:pStyle w:val="Heading2"/>
        <w:numPr>
          <w:ilvl w:val="1"/>
          <w:numId w:val="2"/>
        </w:numPr>
        <w:rPr/>
      </w:pPr>
      <w:bookmarkStart w:id="2" w:name="__RefHeading___Toc5003_3590462016"/>
      <w:bookmarkEnd w:id="2"/>
      <w:r>
        <w:rPr/>
        <w:t>Finanční manažer - YYY:</w:t>
      </w:r>
    </w:p>
    <w:p>
      <w:pPr>
        <w:pStyle w:val="Normal"/>
        <w:numPr>
          <w:ilvl w:val="0"/>
          <w:numId w:val="5"/>
        </w:numPr>
        <w:rPr>
          <w:rFonts w:cs="Arial"/>
          <w:sz w:val="22"/>
          <w:szCs w:val="22"/>
        </w:rPr>
      </w:pPr>
      <w:r>
        <w:rPr>
          <w:rFonts w:cs="Arial"/>
          <w:sz w:val="22"/>
          <w:szCs w:val="22"/>
        </w:rPr>
        <w:t>příjem, vystavení a prvotní označení všech účetních dokladů</w:t>
      </w:r>
    </w:p>
    <w:p>
      <w:pPr>
        <w:pStyle w:val="Normal"/>
        <w:numPr>
          <w:ilvl w:val="0"/>
          <w:numId w:val="5"/>
        </w:numPr>
        <w:rPr>
          <w:rFonts w:cs="Arial"/>
          <w:sz w:val="22"/>
          <w:szCs w:val="22"/>
          <w:lang w:bidi="zxx"/>
        </w:rPr>
      </w:pPr>
      <w:r>
        <w:rPr>
          <w:rFonts w:cs="Arial"/>
          <w:sz w:val="22"/>
          <w:szCs w:val="22"/>
          <w:lang w:bidi="zxx"/>
        </w:rPr>
        <w:t>schvalování dokladů do 50 000 Kč včetně</w:t>
      </w:r>
    </w:p>
    <w:p>
      <w:pPr>
        <w:pStyle w:val="Normal"/>
        <w:numPr>
          <w:ilvl w:val="0"/>
          <w:numId w:val="5"/>
        </w:numPr>
        <w:rPr>
          <w:rFonts w:cs="Arial"/>
          <w:sz w:val="22"/>
          <w:szCs w:val="22"/>
        </w:rPr>
      </w:pPr>
      <w:r>
        <w:rPr>
          <w:rFonts w:cs="Arial"/>
          <w:sz w:val="22"/>
          <w:szCs w:val="22"/>
        </w:rPr>
        <w:t>stanovení střediska pro účtování účetních případů</w:t>
      </w:r>
    </w:p>
    <w:p>
      <w:pPr>
        <w:pStyle w:val="Normal"/>
        <w:numPr>
          <w:ilvl w:val="0"/>
          <w:numId w:val="5"/>
        </w:numPr>
        <w:rPr>
          <w:rFonts w:cs="Arial"/>
          <w:sz w:val="22"/>
          <w:szCs w:val="22"/>
        </w:rPr>
      </w:pPr>
      <w:r>
        <w:rPr>
          <w:rFonts w:cs="Arial"/>
          <w:sz w:val="22"/>
          <w:szCs w:val="22"/>
        </w:rPr>
        <w:t>archivace účetních dokladů a související dokumentace</w:t>
      </w:r>
    </w:p>
    <w:p>
      <w:pPr>
        <w:pStyle w:val="Normal"/>
        <w:numPr>
          <w:ilvl w:val="0"/>
          <w:numId w:val="5"/>
        </w:numPr>
        <w:rPr>
          <w:rFonts w:cs="Arial"/>
          <w:sz w:val="22"/>
          <w:szCs w:val="22"/>
        </w:rPr>
      </w:pPr>
      <w:r>
        <w:rPr>
          <w:rFonts w:cs="Arial"/>
          <w:sz w:val="22"/>
          <w:szCs w:val="22"/>
        </w:rPr>
        <w:t>vedení pokladní knihy</w:t>
      </w:r>
    </w:p>
    <w:p>
      <w:pPr>
        <w:pStyle w:val="Normal"/>
        <w:numPr>
          <w:ilvl w:val="0"/>
          <w:numId w:val="5"/>
        </w:numPr>
        <w:rPr>
          <w:rFonts w:cs="Arial"/>
          <w:sz w:val="22"/>
          <w:szCs w:val="22"/>
        </w:rPr>
      </w:pPr>
      <w:r>
        <w:rPr>
          <w:rFonts w:cs="Arial"/>
          <w:sz w:val="22"/>
          <w:szCs w:val="22"/>
        </w:rPr>
        <w:t>měsíční předání všech dokladů (včetně smluv a dat týkajících se přijatých příspěvků) a potřebných informací hlavní účetní</w:t>
      </w:r>
    </w:p>
    <w:p>
      <w:pPr>
        <w:pStyle w:val="Normal"/>
        <w:numPr>
          <w:ilvl w:val="0"/>
          <w:numId w:val="5"/>
        </w:numPr>
        <w:rPr>
          <w:rFonts w:cs="Arial"/>
          <w:b w:val="false"/>
          <w:b w:val="false"/>
          <w:bCs w:val="false"/>
          <w:sz w:val="22"/>
          <w:szCs w:val="22"/>
        </w:rPr>
      </w:pPr>
      <w:r>
        <w:rPr>
          <w:rFonts w:cs="Arial"/>
          <w:b w:val="false"/>
          <w:bCs w:val="false"/>
          <w:sz w:val="22"/>
          <w:szCs w:val="22"/>
        </w:rPr>
        <w:t>rozhodování o výši zálohy na pracovní cesty zaměstnanců</w:t>
      </w:r>
    </w:p>
    <w:p>
      <w:pPr>
        <w:pStyle w:val="Normal"/>
        <w:jc w:val="both"/>
        <w:rPr>
          <w:rFonts w:cs="Arial"/>
          <w:b/>
          <w:b/>
          <w:sz w:val="22"/>
          <w:szCs w:val="22"/>
        </w:rPr>
      </w:pPr>
      <w:r>
        <w:rPr>
          <w:rFonts w:cs="Arial"/>
          <w:b/>
          <w:sz w:val="22"/>
          <w:szCs w:val="22"/>
        </w:rPr>
      </w:r>
    </w:p>
    <w:p>
      <w:pPr>
        <w:pStyle w:val="Heading2"/>
        <w:numPr>
          <w:ilvl w:val="1"/>
          <w:numId w:val="2"/>
        </w:numPr>
        <w:rPr/>
      </w:pPr>
      <w:bookmarkStart w:id="3" w:name="__RefHeading___Toc5005_3590462016"/>
      <w:bookmarkEnd w:id="3"/>
      <w:r>
        <w:rPr/>
        <w:t>Ředitel organizace - ZZZ:</w:t>
      </w:r>
    </w:p>
    <w:p>
      <w:pPr>
        <w:pStyle w:val="Normal"/>
        <w:numPr>
          <w:ilvl w:val="0"/>
          <w:numId w:val="6"/>
        </w:numPr>
        <w:jc w:val="both"/>
        <w:rPr>
          <w:rFonts w:cs="Arial"/>
          <w:b w:val="false"/>
          <w:b w:val="false"/>
          <w:bCs w:val="false"/>
          <w:sz w:val="22"/>
          <w:szCs w:val="22"/>
          <w:u w:val="none"/>
          <w:lang w:bidi="zxx"/>
        </w:rPr>
      </w:pPr>
      <w:r>
        <w:rPr>
          <w:rFonts w:cs="Arial"/>
          <w:b w:val="false"/>
          <w:bCs w:val="false"/>
          <w:sz w:val="22"/>
          <w:szCs w:val="22"/>
          <w:u w:val="none"/>
          <w:lang w:bidi="zxx"/>
        </w:rPr>
        <w:t>schvalování dokladů nad 50 000 Kč</w:t>
      </w:r>
    </w:p>
    <w:p>
      <w:pPr>
        <w:pStyle w:val="Normal"/>
        <w:numPr>
          <w:ilvl w:val="0"/>
          <w:numId w:val="6"/>
        </w:numPr>
        <w:jc w:val="both"/>
        <w:rPr>
          <w:rFonts w:cs="Arial"/>
          <w:b w:val="false"/>
          <w:b w:val="false"/>
          <w:bCs w:val="false"/>
          <w:sz w:val="22"/>
          <w:szCs w:val="22"/>
          <w:u w:val="none"/>
          <w:lang w:bidi="zxx"/>
        </w:rPr>
      </w:pPr>
      <w:r>
        <w:rPr>
          <w:rFonts w:cs="Arial"/>
          <w:b w:val="false"/>
          <w:bCs w:val="false"/>
          <w:sz w:val="22"/>
          <w:szCs w:val="22"/>
          <w:u w:val="none"/>
          <w:lang w:bidi="zxx"/>
        </w:rPr>
        <w:t>každoroční vydávání příkazu ředitele k provedení inventarizace</w:t>
      </w:r>
    </w:p>
    <w:p>
      <w:pPr>
        <w:pStyle w:val="Normal"/>
        <w:numPr>
          <w:ilvl w:val="0"/>
          <w:numId w:val="6"/>
        </w:numPr>
        <w:jc w:val="both"/>
        <w:rPr>
          <w:rFonts w:cs="Arial"/>
          <w:b w:val="false"/>
          <w:b w:val="false"/>
          <w:bCs w:val="false"/>
          <w:sz w:val="22"/>
          <w:szCs w:val="22"/>
          <w:u w:val="none"/>
          <w:lang w:bidi="zxx"/>
        </w:rPr>
      </w:pPr>
      <w:r>
        <w:rPr>
          <w:rFonts w:cs="Arial"/>
          <w:b w:val="false"/>
          <w:bCs w:val="false"/>
          <w:sz w:val="22"/>
          <w:szCs w:val="22"/>
          <w:u w:val="none"/>
          <w:lang w:bidi="zxx"/>
        </w:rPr>
        <w:t>schvalování inventurních soupisů</w:t>
      </w:r>
    </w:p>
    <w:p>
      <w:pPr>
        <w:pStyle w:val="Normal"/>
        <w:numPr>
          <w:ilvl w:val="0"/>
          <w:numId w:val="6"/>
        </w:numPr>
        <w:jc w:val="both"/>
        <w:rPr>
          <w:rFonts w:cs="Arial"/>
          <w:b w:val="false"/>
          <w:b w:val="false"/>
          <w:bCs w:val="false"/>
          <w:sz w:val="22"/>
          <w:szCs w:val="22"/>
          <w:u w:val="none"/>
          <w:lang w:bidi="zxx"/>
        </w:rPr>
      </w:pPr>
      <w:r>
        <w:rPr>
          <w:rFonts w:cs="Arial"/>
          <w:b w:val="false"/>
          <w:bCs w:val="false"/>
          <w:sz w:val="22"/>
          <w:szCs w:val="22"/>
          <w:u w:val="none"/>
          <w:lang w:bidi="zxx"/>
        </w:rPr>
        <w:t>schvalování průběžných a závěrečných finančních zpráv dotací</w:t>
      </w:r>
    </w:p>
    <w:p>
      <w:pPr>
        <w:pStyle w:val="Normal"/>
        <w:numPr>
          <w:ilvl w:val="0"/>
          <w:numId w:val="6"/>
        </w:numPr>
        <w:jc w:val="both"/>
        <w:rPr>
          <w:rFonts w:cs="Arial"/>
          <w:b w:val="false"/>
          <w:b w:val="false"/>
          <w:bCs w:val="false"/>
          <w:sz w:val="22"/>
          <w:szCs w:val="22"/>
          <w:u w:val="none"/>
          <w:lang w:bidi="zxx"/>
        </w:rPr>
      </w:pPr>
      <w:r>
        <w:rPr>
          <w:rFonts w:cs="Arial"/>
          <w:b w:val="false"/>
          <w:bCs w:val="false"/>
          <w:sz w:val="22"/>
          <w:szCs w:val="22"/>
          <w:u w:val="none"/>
          <w:lang w:bidi="zxx"/>
        </w:rPr>
        <w:t>schvalování účetní závěrky a výroční zprávy</w:t>
      </w:r>
    </w:p>
    <w:p>
      <w:pPr>
        <w:pStyle w:val="Normal"/>
        <w:numPr>
          <w:ilvl w:val="0"/>
          <w:numId w:val="6"/>
        </w:numPr>
        <w:jc w:val="both"/>
        <w:rPr>
          <w:rFonts w:cs="Arial"/>
          <w:b w:val="false"/>
          <w:b w:val="false"/>
          <w:bCs w:val="false"/>
          <w:sz w:val="22"/>
          <w:szCs w:val="22"/>
          <w:u w:val="none"/>
          <w:lang w:bidi="zxx"/>
        </w:rPr>
      </w:pPr>
      <w:r>
        <w:rPr>
          <w:rFonts w:cs="Arial"/>
          <w:b w:val="false"/>
          <w:bCs w:val="false"/>
          <w:sz w:val="22"/>
          <w:szCs w:val="22"/>
          <w:u w:val="none"/>
          <w:lang w:bidi="zxx"/>
        </w:rPr>
        <w:t>schvalování pracovních cest zaměstnanců</w:t>
      </w:r>
    </w:p>
    <w:p>
      <w:pPr>
        <w:pStyle w:val="Normal"/>
        <w:jc w:val="both"/>
        <w:rPr>
          <w:rFonts w:cs="Arial"/>
          <w:b w:val="false"/>
          <w:b w:val="false"/>
          <w:bCs w:val="false"/>
          <w:sz w:val="22"/>
          <w:szCs w:val="22"/>
          <w:u w:val="none"/>
          <w:lang w:bidi="zxx"/>
        </w:rPr>
      </w:pPr>
      <w:r>
        <w:rPr>
          <w:rFonts w:cs="Arial"/>
          <w:b w:val="false"/>
          <w:bCs w:val="false"/>
          <w:sz w:val="22"/>
          <w:szCs w:val="22"/>
          <w:u w:val="none"/>
          <w:lang w:bidi="zxx"/>
        </w:rPr>
      </w:r>
    </w:p>
    <w:p>
      <w:pPr>
        <w:pStyle w:val="Heading2"/>
        <w:numPr>
          <w:ilvl w:val="1"/>
          <w:numId w:val="2"/>
        </w:numPr>
        <w:rPr/>
      </w:pPr>
      <w:bookmarkStart w:id="4" w:name="__RefHeading___Toc5007_3590462016"/>
      <w:bookmarkEnd w:id="4"/>
      <w:r>
        <w:rPr/>
        <w:t>Podpisové vzory</w:t>
      </w:r>
    </w:p>
    <w:p>
      <w:pPr>
        <w:pStyle w:val="Normal"/>
        <w:jc w:val="both"/>
        <w:rPr/>
      </w:pPr>
      <w:r>
        <w:rPr>
          <w:rFonts w:cs="Arial"/>
          <w:b w:val="false"/>
          <w:bCs w:val="false"/>
          <w:sz w:val="22"/>
          <w:szCs w:val="22"/>
          <w:u w:val="none"/>
          <w:lang w:bidi="zxx"/>
        </w:rPr>
        <w:t xml:space="preserve">Podpisové vzory odpovědných pracovníků jsou </w:t>
      </w:r>
      <w:r>
        <w:rPr>
          <w:rFonts w:cs="Arial"/>
          <w:b/>
          <w:bCs/>
          <w:sz w:val="22"/>
          <w:szCs w:val="22"/>
          <w:u w:val="none"/>
          <w:lang w:bidi="zxx"/>
        </w:rPr>
        <w:t xml:space="preserve">Přílohou </w:t>
      </w:r>
      <w:r>
        <w:rPr>
          <w:rFonts w:cs="Arial"/>
          <w:b/>
          <w:bCs/>
          <w:sz w:val="22"/>
          <w:szCs w:val="22"/>
          <w:u w:val="none"/>
          <w:lang w:val="cs-CZ" w:bidi="zxx"/>
        </w:rPr>
        <w:t>č. 1</w:t>
      </w:r>
      <w:r>
        <w:rPr>
          <w:rFonts w:cs="Arial"/>
          <w:b w:val="false"/>
          <w:bCs w:val="false"/>
          <w:sz w:val="22"/>
          <w:szCs w:val="22"/>
          <w:u w:val="none"/>
          <w:lang w:val="cs-CZ" w:bidi="zxx"/>
        </w:rPr>
        <w:t xml:space="preserve"> této směrnice.</w:t>
      </w:r>
    </w:p>
    <w:p>
      <w:pPr>
        <w:pStyle w:val="Normal"/>
        <w:jc w:val="both"/>
        <w:rPr>
          <w:rFonts w:cs="Arial"/>
          <w:sz w:val="22"/>
          <w:szCs w:val="22"/>
        </w:rPr>
      </w:pPr>
      <w:r>
        <w:rPr>
          <w:rFonts w:cs="Arial"/>
          <w:sz w:val="22"/>
          <w:szCs w:val="22"/>
        </w:rPr>
      </w:r>
    </w:p>
    <w:p>
      <w:pPr>
        <w:pStyle w:val="Normal"/>
        <w:jc w:val="both"/>
        <w:rPr>
          <w:rFonts w:cs="Arial"/>
          <w:b/>
          <w:b/>
          <w:sz w:val="22"/>
          <w:szCs w:val="22"/>
        </w:rPr>
      </w:pPr>
      <w:r>
        <w:rPr>
          <w:rFonts w:cs="Arial"/>
          <w:b/>
          <w:sz w:val="22"/>
          <w:szCs w:val="22"/>
        </w:rPr>
      </w:r>
    </w:p>
    <w:p>
      <w:pPr>
        <w:pStyle w:val="Heading1"/>
        <w:widowControl/>
        <w:numPr>
          <w:ilvl w:val="0"/>
          <w:numId w:val="0"/>
        </w:numPr>
        <w:suppressAutoHyphens w:val="true"/>
        <w:ind w:left="0" w:right="0" w:hanging="0"/>
        <w:jc w:val="left"/>
        <w:rPr>
          <w:rFonts w:ascii="Arial" w:hAnsi="Arial" w:cs="Arial"/>
          <w:b/>
          <w:b/>
          <w:sz w:val="28"/>
          <w:szCs w:val="28"/>
        </w:rPr>
      </w:pPr>
      <w:r>
        <w:rPr>
          <w:rFonts w:cs="Arial"/>
          <w:b/>
          <w:sz w:val="28"/>
          <w:szCs w:val="28"/>
        </w:rPr>
      </w:r>
      <w:r>
        <w:br w:type="page"/>
      </w:r>
    </w:p>
    <w:p>
      <w:pPr>
        <w:pStyle w:val="Heading1"/>
        <w:numPr>
          <w:ilvl w:val="0"/>
          <w:numId w:val="2"/>
        </w:numPr>
        <w:ind w:left="0" w:right="0" w:hanging="0"/>
        <w:rPr/>
      </w:pPr>
      <w:bookmarkStart w:id="5" w:name="__RefHeading___Toc7640_573671802"/>
      <w:bookmarkEnd w:id="5"/>
      <w:r>
        <w:rPr/>
        <w:t>Účtový rozvrh</w:t>
      </w:r>
    </w:p>
    <w:p>
      <w:pPr>
        <w:pStyle w:val="Normal"/>
        <w:jc w:val="both"/>
        <w:rPr/>
      </w:pPr>
      <w:r>
        <w:rPr/>
      </w:r>
    </w:p>
    <w:p>
      <w:pPr>
        <w:pStyle w:val="Normal"/>
        <w:jc w:val="both"/>
        <w:rPr/>
      </w:pPr>
      <w:r>
        <w:rPr>
          <w:rFonts w:eastAsia="Arial" w:cs="Arial"/>
          <w:b w:val="false"/>
          <w:bCs w:val="false"/>
          <w:szCs w:val="24"/>
          <w:lang w:bidi="zxx"/>
        </w:rPr>
        <w:t>Účtový rozvrh je připraven v souladu s vyhláškou č. 504/</w:t>
      </w:r>
      <w:r>
        <w:rPr>
          <w:rFonts w:eastAsia="Arial" w:cs="Arial"/>
          <w:b w:val="false"/>
          <w:bCs w:val="false"/>
          <w:szCs w:val="24"/>
          <w:lang w:val="en-US" w:bidi="zxx"/>
        </w:rPr>
        <w:t xml:space="preserve">2002 Sb. </w:t>
      </w:r>
      <w:r>
        <w:rPr>
          <w:rFonts w:eastAsia="Arial" w:cs="Arial"/>
          <w:b w:val="false"/>
          <w:bCs w:val="false"/>
          <w:szCs w:val="24"/>
          <w:lang w:val="cs-CZ" w:bidi="zxx"/>
        </w:rPr>
        <w:t xml:space="preserve">provádějící některá ustanovení zákona o účetnictví pro nestátní nevýdělečné organizace. </w:t>
      </w:r>
      <w:r>
        <w:rPr>
          <w:rFonts w:eastAsia="Arial" w:cs="Arial"/>
          <w:b w:val="false"/>
          <w:bCs w:val="false"/>
          <w:szCs w:val="24"/>
          <w:lang w:bidi="zxx"/>
        </w:rPr>
        <w:t>Analytické členění vychází z pot</w:t>
      </w:r>
      <w:r>
        <w:rPr>
          <w:rFonts w:eastAsia="Arial" w:cs="Arial"/>
          <w:b w:val="false"/>
          <w:bCs w:val="false"/>
          <w:sz w:val="22"/>
          <w:szCs w:val="22"/>
          <w:lang w:bidi="zxx"/>
        </w:rPr>
        <w:t>řeb řízení a kontroly a je tvořeno s ohledem na příslušná ustanovení účetních, daňových a jiných předpisů. Účtový rozvrh je udržován v účetním systému.</w:t>
      </w:r>
    </w:p>
    <w:p>
      <w:pPr>
        <w:pStyle w:val="Normal"/>
        <w:jc w:val="both"/>
        <w:rPr>
          <w:rFonts w:ascii="Arial" w:hAnsi="Arial" w:cs="Arial"/>
          <w:sz w:val="22"/>
          <w:szCs w:val="22"/>
          <w:lang w:bidi="zxx"/>
        </w:rPr>
      </w:pPr>
      <w:r>
        <w:rPr>
          <w:rFonts w:cs="Arial"/>
          <w:sz w:val="22"/>
          <w:szCs w:val="22"/>
          <w:lang w:bidi="zxx"/>
        </w:rPr>
      </w:r>
    </w:p>
    <w:p>
      <w:pPr>
        <w:pStyle w:val="Normal"/>
        <w:jc w:val="both"/>
        <w:rPr>
          <w:rFonts w:ascii="Arial" w:hAnsi="Arial" w:cs="Arial"/>
          <w:b w:val="false"/>
          <w:b w:val="false"/>
          <w:bCs w:val="false"/>
          <w:sz w:val="22"/>
          <w:szCs w:val="22"/>
          <w:u w:val="none"/>
          <w:lang w:bidi="zxx"/>
        </w:rPr>
      </w:pPr>
      <w:r>
        <w:rPr>
          <w:rFonts w:cs="Arial"/>
          <w:b w:val="false"/>
          <w:bCs w:val="false"/>
          <w:sz w:val="22"/>
          <w:szCs w:val="22"/>
          <w:u w:val="none"/>
          <w:lang w:bidi="zxx"/>
        </w:rPr>
        <w:t>Za aktualizaci účtového rozvrhu odpovídá: hlavní účetní – průběžně.</w:t>
      </w:r>
    </w:p>
    <w:p>
      <w:pPr>
        <w:pStyle w:val="Normal"/>
        <w:jc w:val="both"/>
        <w:rPr>
          <w:rFonts w:ascii="Arial" w:hAnsi="Arial" w:cs="Arial"/>
          <w:b w:val="false"/>
          <w:b w:val="false"/>
          <w:bCs w:val="false"/>
          <w:sz w:val="22"/>
          <w:szCs w:val="22"/>
          <w:u w:val="none"/>
          <w:lang w:bidi="zxx"/>
        </w:rPr>
      </w:pPr>
      <w:r>
        <w:rPr>
          <w:rFonts w:cs="Arial"/>
          <w:b w:val="false"/>
          <w:bCs w:val="false"/>
          <w:sz w:val="22"/>
          <w:szCs w:val="22"/>
          <w:u w:val="none"/>
          <w:lang w:bidi="zxx"/>
        </w:rPr>
      </w:r>
    </w:p>
    <w:p>
      <w:pPr>
        <w:pStyle w:val="Normal"/>
        <w:jc w:val="both"/>
        <w:rPr/>
      </w:pPr>
      <w:r>
        <w:rPr>
          <w:rFonts w:cs="Arial"/>
          <w:b w:val="false"/>
          <w:bCs w:val="false"/>
          <w:sz w:val="22"/>
          <w:szCs w:val="22"/>
          <w:u w:val="none"/>
          <w:lang w:bidi="zxx"/>
        </w:rPr>
        <w:t xml:space="preserve">Aktuální účtový rozvrh je </w:t>
      </w:r>
      <w:r>
        <w:rPr>
          <w:rFonts w:cs="Arial"/>
          <w:b/>
          <w:bCs/>
          <w:sz w:val="22"/>
          <w:szCs w:val="22"/>
          <w:u w:val="none"/>
          <w:lang w:bidi="zxx"/>
        </w:rPr>
        <w:t>Přílohou č. 2</w:t>
      </w:r>
      <w:r>
        <w:rPr>
          <w:rFonts w:cs="Arial"/>
          <w:b w:val="false"/>
          <w:bCs w:val="false"/>
          <w:sz w:val="22"/>
          <w:szCs w:val="22"/>
          <w:u w:val="none"/>
          <w:lang w:bidi="zxx"/>
        </w:rPr>
        <w:t xml:space="preserve"> této směrnice.</w:t>
      </w:r>
    </w:p>
    <w:p>
      <w:pPr>
        <w:pStyle w:val="Normal"/>
        <w:jc w:val="both"/>
        <w:rPr>
          <w:rFonts w:ascii="Arial" w:hAnsi="Arial" w:cs="Arial"/>
          <w:b w:val="false"/>
          <w:b w:val="false"/>
          <w:bCs w:val="false"/>
          <w:sz w:val="22"/>
          <w:szCs w:val="22"/>
          <w:u w:val="none"/>
          <w:lang w:bidi="zxx"/>
        </w:rPr>
      </w:pPr>
      <w:r>
        <w:rPr>
          <w:rFonts w:cs="Arial"/>
          <w:b w:val="false"/>
          <w:bCs w:val="false"/>
          <w:sz w:val="22"/>
          <w:szCs w:val="22"/>
          <w:u w:val="none"/>
          <w:lang w:bidi="zxx"/>
        </w:rPr>
      </w:r>
    </w:p>
    <w:p>
      <w:pPr>
        <w:pStyle w:val="Normal"/>
        <w:jc w:val="both"/>
        <w:rPr>
          <w:rFonts w:ascii="Arial" w:hAnsi="Arial" w:cs="Arial"/>
          <w:b/>
          <w:b/>
          <w:bCs w:val="false"/>
          <w:sz w:val="22"/>
          <w:szCs w:val="22"/>
          <w:u w:val="none"/>
          <w:lang w:bidi="zxx"/>
        </w:rPr>
      </w:pPr>
      <w:r>
        <w:rPr>
          <w:rFonts w:cs="Arial"/>
          <w:b/>
          <w:bCs w:val="false"/>
          <w:sz w:val="22"/>
          <w:szCs w:val="22"/>
          <w:u w:val="none"/>
          <w:lang w:bidi="zxx"/>
        </w:rPr>
      </w:r>
    </w:p>
    <w:p>
      <w:pPr>
        <w:pStyle w:val="Normal"/>
        <w:jc w:val="both"/>
        <w:rPr>
          <w:rFonts w:ascii="Arial" w:hAnsi="Arial" w:cs="Arial"/>
          <w:b/>
          <w:b/>
          <w:bCs w:val="false"/>
          <w:sz w:val="28"/>
          <w:szCs w:val="28"/>
          <w:u w:val="none"/>
          <w:lang w:bidi="zxx"/>
        </w:rPr>
      </w:pPr>
      <w:r>
        <w:rPr>
          <w:rFonts w:cs="Arial"/>
          <w:b/>
          <w:bCs w:val="false"/>
          <w:sz w:val="28"/>
          <w:szCs w:val="28"/>
          <w:u w:val="none"/>
          <w:lang w:bidi="zxx"/>
        </w:rPr>
      </w:r>
    </w:p>
    <w:p>
      <w:pPr>
        <w:pStyle w:val="Heading1"/>
        <w:widowControl/>
        <w:numPr>
          <w:ilvl w:val="0"/>
          <w:numId w:val="0"/>
        </w:numPr>
        <w:suppressAutoHyphens w:val="true"/>
        <w:ind w:left="0" w:right="0" w:hanging="0"/>
        <w:jc w:val="left"/>
        <w:rPr>
          <w:rFonts w:ascii="Arial" w:hAnsi="Arial" w:cs="Arial"/>
          <w:b/>
          <w:b/>
          <w:bCs w:val="false"/>
          <w:sz w:val="28"/>
          <w:szCs w:val="28"/>
          <w:u w:val="none"/>
          <w:lang w:bidi="zxx"/>
        </w:rPr>
      </w:pPr>
      <w:r>
        <w:rPr>
          <w:rFonts w:cs="Arial"/>
          <w:b/>
          <w:bCs w:val="false"/>
          <w:sz w:val="28"/>
          <w:szCs w:val="28"/>
          <w:u w:val="none"/>
          <w:lang w:bidi="zxx"/>
        </w:rPr>
      </w:r>
      <w:r>
        <w:br w:type="page"/>
      </w:r>
    </w:p>
    <w:p>
      <w:pPr>
        <w:pStyle w:val="Heading1"/>
        <w:numPr>
          <w:ilvl w:val="0"/>
          <w:numId w:val="2"/>
        </w:numPr>
        <w:ind w:left="0" w:right="0" w:hanging="0"/>
        <w:rPr/>
      </w:pPr>
      <w:bookmarkStart w:id="6" w:name="__RefHeading___Toc6663_173049253"/>
      <w:bookmarkEnd w:id="6"/>
      <w:r>
        <w:rPr/>
        <w:t>Účetní doklady</w:t>
      </w:r>
    </w:p>
    <w:p>
      <w:pPr>
        <w:pStyle w:val="Normal"/>
        <w:rPr>
          <w:rFonts w:ascii="Arial" w:hAnsi="Arial" w:cs="Arial"/>
        </w:rPr>
      </w:pPr>
      <w:r>
        <w:rPr>
          <w:rFonts w:cs="Arial"/>
        </w:rPr>
      </w:r>
    </w:p>
    <w:p>
      <w:pPr>
        <w:pStyle w:val="Heading2"/>
        <w:numPr>
          <w:ilvl w:val="1"/>
          <w:numId w:val="2"/>
        </w:numPr>
        <w:rPr/>
      </w:pPr>
      <w:bookmarkStart w:id="7" w:name="__RefHeading___Toc3929_220351804"/>
      <w:bookmarkEnd w:id="7"/>
      <w:r>
        <w:rPr/>
        <w:t>Účetní doklady a účetní zápisy</w:t>
      </w:r>
    </w:p>
    <w:p>
      <w:pPr>
        <w:pStyle w:val="Normal"/>
        <w:jc w:val="both"/>
        <w:rPr>
          <w:rFonts w:ascii="Arial" w:hAnsi="Arial" w:cs="Arial"/>
        </w:rPr>
      </w:pPr>
      <w:r>
        <w:rPr>
          <w:rFonts w:cs="Arial"/>
        </w:rPr>
        <w:t xml:space="preserve">Účetní záznamy (doklady) jsou vystavovány v účetním software tak, aby splňovaly náležitosti dané zákonem. Součástí účetních dokladů jsou elektronické nebo písemné dokumenty prokazující věcnou stránku účetního případu. Za splnění náležitosti podpisového záznamu osoby odpovědné za účetní případ a osoby odpovědné za jeho zaúčtování je považována též přístupová identifikace osoby, která o případu účtuje, k účetnímu softwaru. </w:t>
      </w:r>
    </w:p>
    <w:p>
      <w:pPr>
        <w:pStyle w:val="Normal"/>
        <w:jc w:val="both"/>
        <w:rPr>
          <w:rFonts w:ascii="Arial" w:hAnsi="Arial" w:cs="Arial"/>
        </w:rPr>
      </w:pPr>
      <w:r>
        <w:rPr>
          <w:rFonts w:cs="Arial"/>
        </w:rPr>
      </w:r>
    </w:p>
    <w:p>
      <w:pPr>
        <w:pStyle w:val="Normal"/>
        <w:jc w:val="both"/>
        <w:rPr>
          <w:rFonts w:ascii="Arial" w:hAnsi="Arial" w:cs="Arial"/>
        </w:rPr>
      </w:pPr>
      <w:r>
        <w:rPr>
          <w:rFonts w:cs="Arial"/>
        </w:rPr>
      </w:r>
    </w:p>
    <w:p>
      <w:pPr>
        <w:pStyle w:val="Heading2"/>
        <w:numPr>
          <w:ilvl w:val="1"/>
          <w:numId w:val="2"/>
        </w:numPr>
        <w:rPr/>
      </w:pPr>
      <w:bookmarkStart w:id="8" w:name="__RefHeading___Toc3931_220351804"/>
      <w:bookmarkEnd w:id="8"/>
      <w:r>
        <w:rPr/>
        <w:t>Odpovědnosti v oblasti účetních dokladů</w:t>
      </w:r>
    </w:p>
    <w:p>
      <w:pPr>
        <w:pStyle w:val="Normal"/>
        <w:jc w:val="both"/>
        <w:rPr/>
      </w:pPr>
      <w:r>
        <w:rPr>
          <w:rFonts w:cs="Arial"/>
          <w:u w:val="none"/>
        </w:rPr>
        <w:t>Komplexní odpovědnosti v rámci organizace jsou dány směrnicí č. 2 - Vedení účetnictví a finanční hospodaření. Schválení účetního dokladu je stvrzeno podpisem odpovědné osoby. Podpisový regulativ a podpisové vzory jsou</w:t>
      </w:r>
      <w:r>
        <w:rPr>
          <w:rFonts w:cs="Arial"/>
          <w:i/>
          <w:u w:val="none"/>
        </w:rPr>
        <w:t xml:space="preserve"> </w:t>
      </w:r>
      <w:r>
        <w:rPr>
          <w:rFonts w:cs="Arial"/>
          <w:u w:val="none"/>
        </w:rPr>
        <w:t>uloženy u ředitele organizace a jsou</w:t>
      </w:r>
      <w:r>
        <w:rPr>
          <w:rFonts w:cs="Arial"/>
          <w:i/>
          <w:u w:val="none"/>
        </w:rPr>
        <w:t xml:space="preserve"> </w:t>
      </w:r>
      <w:r>
        <w:rPr>
          <w:rFonts w:cs="Arial"/>
          <w:u w:val="none"/>
        </w:rPr>
        <w:t>řešeny níže touto směrnicí.</w:t>
      </w:r>
    </w:p>
    <w:p>
      <w:pPr>
        <w:pStyle w:val="Normal"/>
        <w:jc w:val="both"/>
        <w:rPr>
          <w:rFonts w:ascii="Arial" w:hAnsi="Arial" w:cs="Arial"/>
        </w:rPr>
      </w:pPr>
      <w:r>
        <w:rPr>
          <w:rFonts w:cs="Arial"/>
        </w:rPr>
      </w:r>
    </w:p>
    <w:p>
      <w:pPr>
        <w:pStyle w:val="Normal"/>
        <w:jc w:val="both"/>
        <w:rPr>
          <w:rFonts w:ascii="Arial" w:hAnsi="Arial" w:cs="Arial"/>
          <w:u w:val="none"/>
        </w:rPr>
      </w:pPr>
      <w:r>
        <w:rPr>
          <w:rFonts w:cs="Arial"/>
          <w:u w:val="none"/>
        </w:rPr>
        <w:t>Odpovědnost za účetní případ – hlavní účetní</w:t>
      </w:r>
    </w:p>
    <w:p>
      <w:pPr>
        <w:pStyle w:val="Normal"/>
        <w:jc w:val="both"/>
        <w:rPr/>
      </w:pPr>
      <w:r>
        <w:rPr>
          <w:rFonts w:cs="Arial"/>
          <w:u w:val="none"/>
        </w:rPr>
        <w:t>Odpovědnost za zaúčtování účetního</w:t>
      </w:r>
      <w:r>
        <w:rPr>
          <w:rFonts w:cs="Arial"/>
          <w:i/>
          <w:u w:val="none"/>
        </w:rPr>
        <w:t xml:space="preserve"> </w:t>
      </w:r>
      <w:r>
        <w:rPr>
          <w:rFonts w:cs="Arial"/>
          <w:u w:val="none"/>
        </w:rPr>
        <w:t>případu – hlavní účetní</w:t>
      </w:r>
    </w:p>
    <w:p>
      <w:pPr>
        <w:pStyle w:val="Normal"/>
        <w:jc w:val="both"/>
        <w:rPr>
          <w:rFonts w:ascii="Arial" w:hAnsi="Arial" w:cs="Arial"/>
          <w:u w:val="none"/>
        </w:rPr>
      </w:pPr>
      <w:r>
        <w:rPr>
          <w:rFonts w:cs="Arial"/>
          <w:u w:val="none"/>
        </w:rPr>
        <w:t>Odpovědnost za schválení zaúčtování účetního případu – ředitel organizace</w:t>
      </w:r>
    </w:p>
    <w:p>
      <w:pPr>
        <w:pStyle w:val="Normal"/>
        <w:jc w:val="both"/>
        <w:rPr>
          <w:rFonts w:ascii="Arial" w:hAnsi="Arial" w:cs="Arial"/>
        </w:rPr>
      </w:pPr>
      <w:r>
        <w:rPr>
          <w:rFonts w:cs="Arial"/>
        </w:rPr>
      </w:r>
    </w:p>
    <w:p>
      <w:pPr>
        <w:pStyle w:val="Heading2"/>
        <w:numPr>
          <w:ilvl w:val="1"/>
          <w:numId w:val="2"/>
        </w:numPr>
        <w:rPr/>
      </w:pPr>
      <w:bookmarkStart w:id="9" w:name="__RefHeading___Toc3933_220351804"/>
      <w:bookmarkEnd w:id="9"/>
      <w:r>
        <w:rPr/>
        <w:t>Seznam číselných řad jednotlivých dokladů</w:t>
      </w:r>
    </w:p>
    <w:p>
      <w:pPr>
        <w:pStyle w:val="Normal"/>
        <w:numPr>
          <w:ilvl w:val="0"/>
          <w:numId w:val="3"/>
        </w:numPr>
        <w:tabs>
          <w:tab w:val="clear" w:pos="708"/>
          <w:tab w:val="left" w:pos="0" w:leader="none"/>
        </w:tabs>
        <w:jc w:val="both"/>
        <w:rPr>
          <w:rFonts w:ascii="Arial" w:hAnsi="Arial" w:cs="Arial"/>
          <w:b w:val="false"/>
          <w:b w:val="false"/>
          <w:bCs w:val="false"/>
          <w:szCs w:val="24"/>
          <w:lang w:bidi="zxx"/>
        </w:rPr>
      </w:pPr>
      <w:r>
        <w:rPr>
          <w:rFonts w:cs="Arial"/>
          <w:b w:val="false"/>
          <w:bCs w:val="false"/>
          <w:szCs w:val="24"/>
          <w:lang w:bidi="zxx"/>
        </w:rPr>
        <w:t>přijatá faktura v CZK– PFCXXX/RR</w:t>
      </w:r>
    </w:p>
    <w:p>
      <w:pPr>
        <w:pStyle w:val="Normal"/>
        <w:numPr>
          <w:ilvl w:val="0"/>
          <w:numId w:val="3"/>
        </w:numPr>
        <w:tabs>
          <w:tab w:val="clear" w:pos="708"/>
          <w:tab w:val="left" w:pos="0" w:leader="none"/>
        </w:tabs>
        <w:jc w:val="both"/>
        <w:rPr>
          <w:rFonts w:ascii="Arial" w:hAnsi="Arial" w:cs="Arial"/>
          <w:b w:val="false"/>
          <w:b w:val="false"/>
          <w:bCs w:val="false"/>
          <w:szCs w:val="24"/>
          <w:lang w:bidi="zxx"/>
        </w:rPr>
      </w:pPr>
      <w:r>
        <w:rPr>
          <w:rFonts w:cs="Arial"/>
          <w:b w:val="false"/>
          <w:bCs w:val="false"/>
          <w:szCs w:val="24"/>
          <w:lang w:bidi="zxx"/>
        </w:rPr>
        <w:t>přijatá faktura v cizí měně – PFZXXX/RR</w:t>
      </w:r>
    </w:p>
    <w:p>
      <w:pPr>
        <w:pStyle w:val="Normal"/>
        <w:numPr>
          <w:ilvl w:val="0"/>
          <w:numId w:val="3"/>
        </w:numPr>
        <w:tabs>
          <w:tab w:val="clear" w:pos="708"/>
          <w:tab w:val="left" w:pos="0" w:leader="none"/>
        </w:tabs>
        <w:jc w:val="both"/>
        <w:rPr>
          <w:rFonts w:ascii="Arial" w:hAnsi="Arial" w:cs="Arial"/>
          <w:b w:val="false"/>
          <w:b w:val="false"/>
          <w:bCs w:val="false"/>
          <w:szCs w:val="24"/>
          <w:lang w:bidi="zxx"/>
        </w:rPr>
      </w:pPr>
      <w:r>
        <w:rPr>
          <w:rFonts w:cs="Arial"/>
          <w:b w:val="false"/>
          <w:bCs w:val="false"/>
          <w:szCs w:val="24"/>
          <w:lang w:bidi="zxx"/>
        </w:rPr>
        <w:t>příjmový pokladní doklad – PPPXXX/RR</w:t>
      </w:r>
    </w:p>
    <w:p>
      <w:pPr>
        <w:pStyle w:val="Normal"/>
        <w:numPr>
          <w:ilvl w:val="0"/>
          <w:numId w:val="3"/>
        </w:numPr>
        <w:tabs>
          <w:tab w:val="clear" w:pos="708"/>
          <w:tab w:val="left" w:pos="0" w:leader="none"/>
        </w:tabs>
        <w:jc w:val="both"/>
        <w:rPr>
          <w:rFonts w:ascii="Arial" w:hAnsi="Arial" w:cs="Arial"/>
          <w:b w:val="false"/>
          <w:b w:val="false"/>
          <w:bCs w:val="false"/>
          <w:lang w:bidi="zxx"/>
        </w:rPr>
      </w:pPr>
      <w:r>
        <w:rPr>
          <w:rFonts w:cs="Arial"/>
          <w:b w:val="false"/>
          <w:bCs w:val="false"/>
          <w:lang w:bidi="zxx"/>
        </w:rPr>
        <w:t>výdajový pokladní doklad – PPVXXX/RR</w:t>
      </w:r>
    </w:p>
    <w:p>
      <w:pPr>
        <w:pStyle w:val="Normal"/>
        <w:numPr>
          <w:ilvl w:val="0"/>
          <w:numId w:val="3"/>
        </w:numPr>
        <w:tabs>
          <w:tab w:val="clear" w:pos="708"/>
          <w:tab w:val="left" w:pos="0" w:leader="none"/>
        </w:tabs>
        <w:jc w:val="both"/>
        <w:rPr>
          <w:rFonts w:ascii="Arial" w:hAnsi="Arial" w:cs="Arial"/>
          <w:b w:val="false"/>
          <w:b w:val="false"/>
          <w:bCs w:val="false"/>
          <w:lang w:bidi="zxx"/>
        </w:rPr>
      </w:pPr>
      <w:r>
        <w:rPr>
          <w:rFonts w:cs="Arial"/>
          <w:b w:val="false"/>
          <w:bCs w:val="false"/>
          <w:lang w:bidi="zxx"/>
        </w:rPr>
        <w:t>bankovní výpis – BVCXXX/RR</w:t>
      </w:r>
    </w:p>
    <w:p>
      <w:pPr>
        <w:pStyle w:val="Normal"/>
        <w:numPr>
          <w:ilvl w:val="0"/>
          <w:numId w:val="3"/>
        </w:numPr>
        <w:tabs>
          <w:tab w:val="clear" w:pos="708"/>
          <w:tab w:val="left" w:pos="0" w:leader="none"/>
        </w:tabs>
        <w:jc w:val="both"/>
        <w:rPr>
          <w:rFonts w:ascii="Arial" w:hAnsi="Arial" w:cs="Arial"/>
          <w:b w:val="false"/>
          <w:b w:val="false"/>
          <w:bCs w:val="false"/>
          <w:lang w:bidi="zxx"/>
        </w:rPr>
      </w:pPr>
      <w:r>
        <w:rPr>
          <w:rFonts w:cs="Arial"/>
          <w:b w:val="false"/>
          <w:bCs w:val="false"/>
          <w:lang w:bidi="zxx"/>
        </w:rPr>
        <w:t>interní doklad –  INTXXX/RR</w:t>
      </w:r>
    </w:p>
    <w:p>
      <w:pPr>
        <w:pStyle w:val="Normal"/>
        <w:numPr>
          <w:ilvl w:val="0"/>
          <w:numId w:val="3"/>
        </w:numPr>
        <w:tabs>
          <w:tab w:val="clear" w:pos="708"/>
          <w:tab w:val="left" w:pos="0" w:leader="none"/>
        </w:tabs>
        <w:jc w:val="both"/>
        <w:rPr>
          <w:rFonts w:ascii="Arial" w:hAnsi="Arial" w:cs="Arial"/>
          <w:b w:val="false"/>
          <w:b w:val="false"/>
          <w:bCs w:val="false"/>
          <w:lang w:bidi="zxx"/>
        </w:rPr>
      </w:pPr>
      <w:r>
        <w:rPr>
          <w:rFonts w:cs="Arial"/>
          <w:b w:val="false"/>
          <w:bCs w:val="false"/>
          <w:lang w:bidi="zxx"/>
        </w:rPr>
        <w:t>mzdové doklady – MZDXXX/RR</w:t>
      </w:r>
    </w:p>
    <w:p>
      <w:pPr>
        <w:pStyle w:val="Normal"/>
        <w:tabs>
          <w:tab w:val="clear" w:pos="708"/>
          <w:tab w:val="left" w:pos="0" w:leader="none"/>
        </w:tabs>
        <w:ind w:left="0" w:right="0" w:hanging="0"/>
        <w:jc w:val="both"/>
        <w:rPr>
          <w:rFonts w:ascii="Arial" w:hAnsi="Arial" w:cs="Arial"/>
          <w:b w:val="false"/>
          <w:b w:val="false"/>
          <w:bCs w:val="false"/>
          <w:lang w:bidi="zxx"/>
        </w:rPr>
      </w:pPr>
      <w:r>
        <w:rPr>
          <w:rFonts w:cs="Arial"/>
          <w:b w:val="false"/>
          <w:bCs w:val="false"/>
          <w:lang w:bidi="zxx"/>
        </w:rPr>
      </w:r>
    </w:p>
    <w:p>
      <w:pPr>
        <w:pStyle w:val="Normal"/>
        <w:tabs>
          <w:tab w:val="clear" w:pos="708"/>
          <w:tab w:val="left" w:pos="0" w:leader="none"/>
        </w:tabs>
        <w:jc w:val="both"/>
        <w:rPr>
          <w:rFonts w:ascii="Arial" w:hAnsi="Arial" w:cs="Arial"/>
          <w:b w:val="false"/>
          <w:b w:val="false"/>
          <w:bCs w:val="false"/>
          <w:lang w:bidi="zxx"/>
        </w:rPr>
      </w:pPr>
      <w:r>
        <w:rPr>
          <w:rFonts w:cs="Arial"/>
          <w:b w:val="false"/>
          <w:bCs w:val="false"/>
          <w:lang w:bidi="zxx"/>
        </w:rPr>
        <w:t>Účetní odpovídá za nepřerušovanost dokladových řad v informačním systému. V případě vzniku volných čísel dokladů se k tomuto číslu uvede poznámka neobsazeno.</w:t>
      </w:r>
    </w:p>
    <w:p>
      <w:pPr>
        <w:pStyle w:val="Normal"/>
        <w:tabs>
          <w:tab w:val="clear" w:pos="708"/>
          <w:tab w:val="left" w:pos="0" w:leader="none"/>
        </w:tabs>
        <w:jc w:val="both"/>
        <w:rPr>
          <w:rFonts w:ascii="Arial" w:hAnsi="Arial" w:cs="Arial"/>
          <w:b w:val="false"/>
          <w:b w:val="false"/>
          <w:bCs w:val="false"/>
          <w:lang w:bidi="zxx"/>
        </w:rPr>
      </w:pPr>
      <w:r>
        <w:rPr>
          <w:rFonts w:cs="Arial"/>
          <w:b w:val="false"/>
          <w:bCs w:val="false"/>
          <w:lang w:bidi="zxx"/>
        </w:rPr>
      </w:r>
    </w:p>
    <w:p>
      <w:pPr>
        <w:pStyle w:val="Heading2"/>
        <w:numPr>
          <w:ilvl w:val="1"/>
          <w:numId w:val="2"/>
        </w:numPr>
        <w:rPr/>
      </w:pPr>
      <w:bookmarkStart w:id="10" w:name="__RefHeading___Toc3935_220351804"/>
      <w:bookmarkEnd w:id="10"/>
      <w:r>
        <w:rPr/>
        <w:t>Seznam číselníků</w:t>
      </w:r>
    </w:p>
    <w:p>
      <w:pPr>
        <w:pStyle w:val="Normal"/>
        <w:rPr>
          <w:rFonts w:ascii="Arial" w:hAnsi="Arial" w:cs="Arial"/>
        </w:rPr>
      </w:pPr>
      <w:r>
        <w:rPr>
          <w:rFonts w:cs="Arial"/>
        </w:rPr>
        <w:t>Číselník středisek je průběžně aktualizován (dle probíhajících programů) a je udržován v účetním systému. Číselník odběratelů a dodavatelů je také udržován v účetním systému.</w:t>
      </w:r>
    </w:p>
    <w:p>
      <w:pPr>
        <w:pStyle w:val="Normal"/>
        <w:rPr>
          <w:rFonts w:ascii="Arial" w:hAnsi="Arial" w:cs="Arial"/>
        </w:rPr>
      </w:pPr>
      <w:r>
        <w:rPr>
          <w:rFonts w:cs="Arial"/>
        </w:rPr>
      </w:r>
    </w:p>
    <w:p>
      <w:pPr>
        <w:pStyle w:val="Normal"/>
        <w:rPr>
          <w:rFonts w:ascii="Arial" w:hAnsi="Arial" w:cs="Arial"/>
        </w:rPr>
      </w:pPr>
      <w:r>
        <w:rPr>
          <w:rFonts w:cs="Arial"/>
        </w:rPr>
        <w:t>Za aktualizaci číselníků odpovídá: hlavní účetní – průběžně</w:t>
      </w:r>
    </w:p>
    <w:p>
      <w:pPr>
        <w:pStyle w:val="Normal"/>
        <w:rPr>
          <w:rFonts w:ascii="Arial" w:hAnsi="Arial" w:cs="Arial"/>
        </w:rPr>
      </w:pPr>
      <w:r>
        <w:rPr>
          <w:rFonts w:cs="Arial"/>
        </w:rPr>
      </w:r>
    </w:p>
    <w:p>
      <w:pPr>
        <w:pStyle w:val="Heading2"/>
        <w:numPr>
          <w:ilvl w:val="1"/>
          <w:numId w:val="2"/>
        </w:numPr>
        <w:rPr/>
      </w:pPr>
      <w:bookmarkStart w:id="11" w:name="__RefHeading___Toc10886_1907744473"/>
      <w:bookmarkEnd w:id="11"/>
      <w:r>
        <w:rPr/>
        <w:t>Oběh účetních dokladů</w:t>
      </w:r>
    </w:p>
    <w:p>
      <w:pPr>
        <w:pStyle w:val="Normal"/>
        <w:rPr/>
      </w:pPr>
      <w:r>
        <w:rPr/>
        <w:t xml:space="preserve">Oběh účetních dokladů je </w:t>
      </w:r>
      <w:r>
        <w:rPr>
          <w:b/>
          <w:bCs/>
        </w:rPr>
        <w:t>přílohou č. 3</w:t>
      </w:r>
      <w:r>
        <w:rPr/>
        <w:t xml:space="preserve"> tohoto předpisu. </w:t>
      </w:r>
    </w:p>
    <w:p>
      <w:pPr>
        <w:pStyle w:val="Normal"/>
        <w:rPr>
          <w:rFonts w:ascii="Arial" w:hAnsi="Arial" w:cs="Arial"/>
          <w:b/>
          <w:b/>
          <w:bCs w:val="false"/>
          <w:sz w:val="28"/>
          <w:szCs w:val="28"/>
          <w:u w:val="none"/>
          <w:lang w:bidi="zxx"/>
        </w:rPr>
      </w:pPr>
      <w:r>
        <w:rPr>
          <w:rFonts w:cs="Arial"/>
          <w:b/>
          <w:bCs w:val="false"/>
          <w:sz w:val="28"/>
          <w:szCs w:val="28"/>
          <w:u w:val="none"/>
          <w:lang w:bidi="zxx"/>
        </w:rPr>
      </w:r>
      <w:r>
        <w:br w:type="page"/>
      </w:r>
    </w:p>
    <w:p>
      <w:pPr>
        <w:pStyle w:val="Heading1"/>
        <w:numPr>
          <w:ilvl w:val="0"/>
          <w:numId w:val="2"/>
        </w:numPr>
        <w:ind w:left="0" w:right="0" w:hanging="0"/>
        <w:rPr/>
      </w:pPr>
      <w:bookmarkStart w:id="12" w:name="__RefHeading___Toc6665_173049253"/>
      <w:bookmarkEnd w:id="12"/>
      <w:r>
        <w:rPr/>
        <w:t>Pracovní cesty</w:t>
      </w:r>
    </w:p>
    <w:p>
      <w:pPr>
        <w:pStyle w:val="Normal"/>
        <w:rPr>
          <w:rFonts w:cs="Arial"/>
          <w:sz w:val="20"/>
          <w:szCs w:val="20"/>
        </w:rPr>
      </w:pPr>
      <w:r>
        <w:rPr>
          <w:rFonts w:cs="Arial"/>
          <w:sz w:val="20"/>
          <w:szCs w:val="20"/>
        </w:rPr>
      </w:r>
    </w:p>
    <w:p>
      <w:pPr>
        <w:pStyle w:val="Heading2"/>
        <w:numPr>
          <w:ilvl w:val="1"/>
          <w:numId w:val="2"/>
        </w:numPr>
        <w:rPr/>
      </w:pPr>
      <w:bookmarkStart w:id="13" w:name="__RefHeading___Toc3937_220351804"/>
      <w:bookmarkEnd w:id="13"/>
      <w:r>
        <w:rPr/>
        <w:t>Základní pravidla</w:t>
      </w:r>
    </w:p>
    <w:p>
      <w:pPr>
        <w:pStyle w:val="Heading3"/>
        <w:numPr>
          <w:ilvl w:val="2"/>
          <w:numId w:val="2"/>
        </w:numPr>
        <w:rPr/>
      </w:pPr>
      <w:bookmarkStart w:id="14" w:name="__RefHeading___Toc3939_220351804"/>
      <w:bookmarkEnd w:id="14"/>
      <w:r>
        <w:rPr>
          <w:rFonts w:cs="Arial"/>
          <w:b/>
          <w:bCs/>
          <w:sz w:val="22"/>
          <w:szCs w:val="22"/>
          <w:u w:val="none"/>
        </w:rPr>
        <w:t>Náhrady</w:t>
      </w:r>
    </w:p>
    <w:p>
      <w:pPr>
        <w:pStyle w:val="Normal"/>
        <w:jc w:val="both"/>
        <w:rPr>
          <w:rFonts w:cs="Arial"/>
          <w:sz w:val="22"/>
          <w:szCs w:val="22"/>
        </w:rPr>
      </w:pPr>
      <w:r>
        <w:rPr>
          <w:rFonts w:cs="Arial"/>
          <w:sz w:val="22"/>
          <w:szCs w:val="22"/>
        </w:rPr>
        <w:t>Zaměstnanci vyslanému na pracovní cestu může příslušet:</w:t>
      </w:r>
    </w:p>
    <w:p>
      <w:pPr>
        <w:pStyle w:val="Normal"/>
        <w:numPr>
          <w:ilvl w:val="0"/>
          <w:numId w:val="11"/>
        </w:numPr>
        <w:jc w:val="both"/>
        <w:rPr>
          <w:rFonts w:cs="Arial"/>
          <w:sz w:val="22"/>
          <w:szCs w:val="22"/>
        </w:rPr>
      </w:pPr>
      <w:r>
        <w:rPr>
          <w:rFonts w:cs="Arial"/>
          <w:sz w:val="22"/>
          <w:szCs w:val="22"/>
        </w:rPr>
        <w:t>náhrada prokázaných jízdních výdajů,</w:t>
      </w:r>
    </w:p>
    <w:p>
      <w:pPr>
        <w:pStyle w:val="Normal"/>
        <w:numPr>
          <w:ilvl w:val="0"/>
          <w:numId w:val="11"/>
        </w:numPr>
        <w:jc w:val="both"/>
        <w:rPr>
          <w:rFonts w:cs="Arial"/>
          <w:sz w:val="22"/>
          <w:szCs w:val="22"/>
        </w:rPr>
      </w:pPr>
      <w:r>
        <w:rPr>
          <w:rFonts w:cs="Arial"/>
          <w:sz w:val="22"/>
          <w:szCs w:val="22"/>
        </w:rPr>
        <w:t>náhrada prokázaných výdajů za ubytování,</w:t>
      </w:r>
    </w:p>
    <w:p>
      <w:pPr>
        <w:pStyle w:val="Normal"/>
        <w:numPr>
          <w:ilvl w:val="0"/>
          <w:numId w:val="11"/>
        </w:numPr>
        <w:jc w:val="both"/>
        <w:rPr>
          <w:rFonts w:cs="Arial"/>
          <w:sz w:val="22"/>
          <w:szCs w:val="22"/>
        </w:rPr>
      </w:pPr>
      <w:r>
        <w:rPr>
          <w:rFonts w:cs="Arial"/>
          <w:sz w:val="22"/>
          <w:szCs w:val="22"/>
        </w:rPr>
        <w:t>stravné za podmínek dále stanovených,</w:t>
      </w:r>
    </w:p>
    <w:p>
      <w:pPr>
        <w:pStyle w:val="Normal"/>
        <w:numPr>
          <w:ilvl w:val="0"/>
          <w:numId w:val="11"/>
        </w:numPr>
        <w:jc w:val="both"/>
        <w:rPr>
          <w:rFonts w:cs="Arial"/>
          <w:sz w:val="22"/>
          <w:szCs w:val="22"/>
        </w:rPr>
      </w:pPr>
      <w:r>
        <w:rPr>
          <w:rFonts w:cs="Arial"/>
          <w:sz w:val="22"/>
          <w:szCs w:val="22"/>
        </w:rPr>
        <w:t>náhrada prokázaných nutných vedlejších výdajů - nutnými vedlejšími výdaji se rozumí nutné výdaje související s výkonem pracovních cest, nikoli výdaje soukromého charakteru – nutnými vedlejšími výdaji jsou např. poplatky za dopravu a úschovu zavazadel, nákup pracovních pomůcek, parkování vozidel, služební telefonické hovory apod.</w:t>
      </w:r>
    </w:p>
    <w:p>
      <w:pPr>
        <w:pStyle w:val="Normal"/>
        <w:ind w:left="360" w:right="0" w:hanging="0"/>
        <w:jc w:val="both"/>
        <w:rPr>
          <w:rFonts w:cs="Arial"/>
          <w:sz w:val="22"/>
          <w:szCs w:val="22"/>
        </w:rPr>
      </w:pPr>
      <w:r>
        <w:rPr>
          <w:rFonts w:cs="Arial"/>
          <w:sz w:val="22"/>
          <w:szCs w:val="22"/>
        </w:rPr>
      </w:r>
    </w:p>
    <w:p>
      <w:pPr>
        <w:pStyle w:val="Normal"/>
        <w:jc w:val="both"/>
        <w:rPr>
          <w:rFonts w:cs="Arial"/>
          <w:sz w:val="22"/>
          <w:szCs w:val="22"/>
        </w:rPr>
      </w:pPr>
      <w:r>
        <w:rPr>
          <w:rFonts w:cs="Arial"/>
          <w:sz w:val="22"/>
          <w:szCs w:val="22"/>
        </w:rPr>
        <w:t xml:space="preserve">Možnost vyslání na pracovní cestu musí být sjednáno písemně v pracovní smlouvě, DPČ či DPP. Možnost poskytování cestovních náhrad musí být sjednána v dohodě o provedení práce a v dohodě o pracovní činnosti.  </w:t>
      </w:r>
    </w:p>
    <w:p>
      <w:pPr>
        <w:pStyle w:val="Normal"/>
        <w:jc w:val="both"/>
        <w:rPr>
          <w:rFonts w:cs="Arial"/>
          <w:sz w:val="22"/>
          <w:szCs w:val="22"/>
        </w:rPr>
      </w:pPr>
      <w:r>
        <w:rPr>
          <w:rFonts w:cs="Arial"/>
          <w:sz w:val="22"/>
          <w:szCs w:val="22"/>
        </w:rPr>
      </w:r>
    </w:p>
    <w:p>
      <w:pPr>
        <w:pStyle w:val="Heading3"/>
        <w:numPr>
          <w:ilvl w:val="2"/>
          <w:numId w:val="2"/>
        </w:numPr>
        <w:rPr>
          <w:rFonts w:cs="Arial"/>
          <w:b/>
          <w:b/>
          <w:bCs/>
          <w:sz w:val="22"/>
          <w:szCs w:val="22"/>
          <w:u w:val="none"/>
        </w:rPr>
      </w:pPr>
      <w:bookmarkStart w:id="15" w:name="__RefHeading___Toc3941_220351804"/>
      <w:bookmarkEnd w:id="15"/>
      <w:r>
        <w:rPr>
          <w:rFonts w:cs="Arial"/>
          <w:b/>
          <w:bCs/>
          <w:sz w:val="22"/>
          <w:szCs w:val="22"/>
          <w:u w:val="none"/>
        </w:rPr>
        <w:t>Schvalování</w:t>
      </w:r>
    </w:p>
    <w:p>
      <w:pPr>
        <w:pStyle w:val="Normal"/>
        <w:jc w:val="both"/>
        <w:rPr>
          <w:rFonts w:cs="Arial"/>
          <w:bCs/>
          <w:sz w:val="22"/>
          <w:szCs w:val="22"/>
        </w:rPr>
      </w:pPr>
      <w:r>
        <w:rPr>
          <w:rFonts w:cs="Arial"/>
          <w:bCs/>
          <w:sz w:val="22"/>
          <w:szCs w:val="22"/>
        </w:rPr>
        <w:t>Za  schválení pracovní cesty je odpovědný ředitel organizace. Při žádosti o schválení pracovní cesty žádá zaměstnanec i o schválení  zálohy na pracovní cestu, kterou opět schvaluje ředitel organizace.</w:t>
      </w:r>
    </w:p>
    <w:p>
      <w:pPr>
        <w:pStyle w:val="Normal"/>
        <w:jc w:val="both"/>
        <w:rPr>
          <w:rFonts w:cs="Arial"/>
          <w:sz w:val="22"/>
          <w:szCs w:val="22"/>
        </w:rPr>
      </w:pPr>
      <w:r>
        <w:rPr>
          <w:rFonts w:cs="Arial"/>
          <w:sz w:val="22"/>
          <w:szCs w:val="22"/>
        </w:rPr>
      </w:r>
    </w:p>
    <w:p>
      <w:pPr>
        <w:pStyle w:val="Heading3"/>
        <w:numPr>
          <w:ilvl w:val="2"/>
          <w:numId w:val="2"/>
        </w:numPr>
        <w:rPr>
          <w:rFonts w:cs="Arial"/>
          <w:sz w:val="22"/>
          <w:szCs w:val="22"/>
        </w:rPr>
      </w:pPr>
      <w:bookmarkStart w:id="16" w:name="__RefHeading___Toc3943_220351804"/>
      <w:bookmarkEnd w:id="16"/>
      <w:r>
        <w:rPr>
          <w:rFonts w:cs="Arial"/>
          <w:sz w:val="22"/>
          <w:szCs w:val="22"/>
        </w:rPr>
        <w:t>Vyúčtování pracovní cesty zaměstnancem</w:t>
      </w:r>
    </w:p>
    <w:p>
      <w:pPr>
        <w:pStyle w:val="Normal"/>
        <w:tabs>
          <w:tab w:val="clear" w:pos="708"/>
          <w:tab w:val="left" w:pos="4605" w:leader="none"/>
        </w:tabs>
        <w:jc w:val="both"/>
        <w:rPr>
          <w:rFonts w:cs="Arial"/>
          <w:sz w:val="22"/>
          <w:szCs w:val="22"/>
        </w:rPr>
      </w:pPr>
      <w:r>
        <w:rPr>
          <w:rFonts w:cs="Arial"/>
          <w:sz w:val="22"/>
          <w:szCs w:val="22"/>
        </w:rPr>
        <w:t>Vyúčtování pracovní cesty se provádí na formuláři „cestovní příkaz“, který si vyzvedne zaměstnanec před vysláním na pracovní cestu u ředitele organizace po schválení pracovní cesty. Před vysláním na pracovní cestu musí formulář obsahovat jméno pracovníka, podpis ředitele, datum a výši poskytnuté zálohy, příp. kapesného.</w:t>
      </w:r>
    </w:p>
    <w:p>
      <w:pPr>
        <w:pStyle w:val="Normal"/>
        <w:tabs>
          <w:tab w:val="clear" w:pos="708"/>
          <w:tab w:val="left" w:pos="4605" w:leader="none"/>
        </w:tabs>
        <w:jc w:val="both"/>
        <w:rPr>
          <w:rFonts w:cs="Arial"/>
          <w:sz w:val="22"/>
          <w:szCs w:val="22"/>
        </w:rPr>
      </w:pPr>
      <w:r>
        <w:rPr>
          <w:rFonts w:cs="Arial"/>
          <w:sz w:val="22"/>
          <w:szCs w:val="22"/>
        </w:rPr>
      </w:r>
    </w:p>
    <w:p>
      <w:pPr>
        <w:pStyle w:val="Normal"/>
        <w:tabs>
          <w:tab w:val="clear" w:pos="708"/>
          <w:tab w:val="left" w:pos="4605" w:leader="none"/>
        </w:tabs>
        <w:jc w:val="both"/>
        <w:rPr>
          <w:rFonts w:cs="Arial"/>
          <w:sz w:val="22"/>
          <w:szCs w:val="22"/>
        </w:rPr>
      </w:pPr>
      <w:r>
        <w:rPr>
          <w:rFonts w:cs="Arial"/>
          <w:sz w:val="22"/>
          <w:szCs w:val="22"/>
        </w:rPr>
        <w:t>Zaměstnanec je povinen do 5ti pracovních dnů po ukončení pracovní cesty předložit vyplněný formulář včetně všech dokladů potřebných k vyúčtování pracovní cesty a vrátit nevyúčtovanou zálohu.</w:t>
      </w:r>
    </w:p>
    <w:p>
      <w:pPr>
        <w:pStyle w:val="Normal"/>
        <w:tabs>
          <w:tab w:val="clear" w:pos="708"/>
          <w:tab w:val="left" w:pos="4605" w:leader="none"/>
        </w:tabs>
        <w:jc w:val="both"/>
        <w:rPr>
          <w:rFonts w:cs="Arial"/>
          <w:sz w:val="22"/>
          <w:szCs w:val="22"/>
        </w:rPr>
      </w:pPr>
      <w:r>
        <w:rPr>
          <w:rFonts w:cs="Arial"/>
          <w:sz w:val="22"/>
          <w:szCs w:val="22"/>
        </w:rPr>
      </w:r>
    </w:p>
    <w:p>
      <w:pPr>
        <w:pStyle w:val="Normal"/>
        <w:tabs>
          <w:tab w:val="clear" w:pos="708"/>
          <w:tab w:val="left" w:pos="4605" w:leader="none"/>
        </w:tabs>
        <w:jc w:val="both"/>
        <w:rPr/>
      </w:pPr>
      <w:r>
        <w:rPr>
          <w:rFonts w:cs="Arial"/>
          <w:sz w:val="22"/>
          <w:szCs w:val="22"/>
        </w:rPr>
        <w:t xml:space="preserve">Formulář "Cestovní příkaz" je </w:t>
      </w:r>
      <w:r>
        <w:rPr>
          <w:rFonts w:cs="Arial"/>
          <w:b/>
          <w:bCs/>
          <w:sz w:val="22"/>
          <w:szCs w:val="22"/>
        </w:rPr>
        <w:t>přílohou č. 4</w:t>
      </w:r>
      <w:r>
        <w:rPr>
          <w:rFonts w:cs="Arial"/>
          <w:sz w:val="22"/>
          <w:szCs w:val="22"/>
        </w:rPr>
        <w:t xml:space="preserve"> této směrnice.</w:t>
      </w:r>
    </w:p>
    <w:p>
      <w:pPr>
        <w:pStyle w:val="Normal"/>
        <w:tabs>
          <w:tab w:val="clear" w:pos="708"/>
          <w:tab w:val="left" w:pos="4605" w:leader="none"/>
        </w:tabs>
        <w:jc w:val="both"/>
        <w:rPr>
          <w:rFonts w:cs="Arial"/>
          <w:sz w:val="22"/>
          <w:szCs w:val="22"/>
        </w:rPr>
      </w:pPr>
      <w:r>
        <w:rPr>
          <w:rFonts w:cs="Arial"/>
          <w:sz w:val="22"/>
          <w:szCs w:val="22"/>
        </w:rPr>
      </w:r>
    </w:p>
    <w:p>
      <w:pPr>
        <w:pStyle w:val="Normal"/>
        <w:tabs>
          <w:tab w:val="clear" w:pos="708"/>
          <w:tab w:val="left" w:pos="4605" w:leader="none"/>
        </w:tabs>
        <w:jc w:val="both"/>
        <w:rPr>
          <w:rFonts w:cs="Arial"/>
          <w:sz w:val="22"/>
          <w:szCs w:val="22"/>
        </w:rPr>
      </w:pPr>
      <w:r>
        <w:rPr>
          <w:rFonts w:cs="Arial"/>
          <w:sz w:val="22"/>
          <w:szCs w:val="22"/>
        </w:rPr>
        <w:t>Součástí vyúčtování nejsou výdaje, které hradí organizace za zaměstnance jinou formou (např. náklady na ubytování a letenky hrazené fakturou). Tyto výdaje jsou schvalovány v rámci oběhu účetních dokladů příslušným odpovědným pracovníkem a za zabezpečení jejich návaznosti na uskutečněnou pracovní  cestu je odpovědný vedoucí odboru účetnictví.</w:t>
      </w:r>
    </w:p>
    <w:p>
      <w:pPr>
        <w:pStyle w:val="Normal"/>
        <w:tabs>
          <w:tab w:val="clear" w:pos="708"/>
          <w:tab w:val="left" w:pos="4605" w:leader="none"/>
        </w:tabs>
        <w:ind w:left="720" w:right="0" w:hanging="0"/>
        <w:jc w:val="both"/>
        <w:rPr>
          <w:rFonts w:cs="Arial"/>
          <w:sz w:val="22"/>
          <w:szCs w:val="22"/>
        </w:rPr>
      </w:pPr>
      <w:r>
        <w:rPr>
          <w:rFonts w:cs="Arial"/>
          <w:sz w:val="22"/>
          <w:szCs w:val="22"/>
        </w:rPr>
      </w:r>
    </w:p>
    <w:p>
      <w:pPr>
        <w:pStyle w:val="Heading3"/>
        <w:numPr>
          <w:ilvl w:val="2"/>
          <w:numId w:val="2"/>
        </w:numPr>
        <w:rPr>
          <w:rFonts w:cs="Arial"/>
          <w:sz w:val="22"/>
          <w:szCs w:val="22"/>
        </w:rPr>
      </w:pPr>
      <w:bookmarkStart w:id="17" w:name="__RefHeading___Toc3945_220351804"/>
      <w:bookmarkEnd w:id="17"/>
      <w:r>
        <w:rPr>
          <w:rFonts w:cs="Arial"/>
          <w:sz w:val="22"/>
          <w:szCs w:val="22"/>
        </w:rPr>
        <w:t>Zúčtování pracovní cesty zaměstnavatelem</w:t>
      </w:r>
    </w:p>
    <w:p>
      <w:pPr>
        <w:pStyle w:val="Normal"/>
        <w:tabs>
          <w:tab w:val="clear" w:pos="708"/>
          <w:tab w:val="left" w:pos="4605" w:leader="none"/>
        </w:tabs>
        <w:jc w:val="both"/>
        <w:rPr>
          <w:rFonts w:cs="Arial"/>
          <w:sz w:val="22"/>
          <w:szCs w:val="22"/>
        </w:rPr>
      </w:pPr>
      <w:r>
        <w:rPr>
          <w:rFonts w:cs="Arial"/>
          <w:sz w:val="22"/>
          <w:szCs w:val="22"/>
        </w:rPr>
        <w:t>Účetní provede do deseti pracovních dnů ode dne přeložení písemných dokladů vyúčtování pracovní cesty. Případný doplatek bude zaměstnanci vyplacen společně se mzdou v následujícím kalendářním měsíci.</w:t>
      </w:r>
    </w:p>
    <w:p>
      <w:pPr>
        <w:pStyle w:val="Normal"/>
        <w:tabs>
          <w:tab w:val="clear" w:pos="708"/>
          <w:tab w:val="left" w:pos="4605" w:leader="none"/>
        </w:tabs>
        <w:jc w:val="both"/>
        <w:rPr>
          <w:rFonts w:cs="Arial"/>
          <w:sz w:val="20"/>
          <w:szCs w:val="20"/>
        </w:rPr>
      </w:pPr>
      <w:r>
        <w:rPr>
          <w:rFonts w:cs="Arial"/>
          <w:sz w:val="20"/>
          <w:szCs w:val="20"/>
        </w:rPr>
      </w:r>
    </w:p>
    <w:p>
      <w:pPr>
        <w:pStyle w:val="Heading2"/>
        <w:numPr>
          <w:ilvl w:val="1"/>
          <w:numId w:val="2"/>
        </w:numPr>
        <w:rPr/>
      </w:pPr>
      <w:bookmarkStart w:id="18" w:name="__RefHeading___Toc3947_220351804"/>
      <w:bookmarkEnd w:id="18"/>
      <w:r>
        <w:rPr/>
        <w:t>Tuzemské pracovní cesty</w:t>
      </w:r>
    </w:p>
    <w:p>
      <w:pPr>
        <w:pStyle w:val="Heading3"/>
        <w:numPr>
          <w:ilvl w:val="2"/>
          <w:numId w:val="2"/>
        </w:numPr>
        <w:rPr>
          <w:sz w:val="22"/>
          <w:szCs w:val="22"/>
        </w:rPr>
      </w:pPr>
      <w:bookmarkStart w:id="19" w:name="__RefHeading___Toc3949_220351804"/>
      <w:bookmarkEnd w:id="19"/>
      <w:r>
        <w:rPr>
          <w:sz w:val="22"/>
          <w:szCs w:val="22"/>
        </w:rPr>
        <w:t>Stravné</w:t>
      </w:r>
    </w:p>
    <w:p>
      <w:pPr>
        <w:pStyle w:val="Normal"/>
        <w:jc w:val="both"/>
        <w:rPr/>
      </w:pPr>
      <w:r>
        <w:rPr>
          <w:rFonts w:cs="Arial"/>
          <w:bCs/>
          <w:sz w:val="22"/>
          <w:szCs w:val="22"/>
        </w:rPr>
        <w:t xml:space="preserve">Sazby stravného a jejich případné krácení se řídí aktuální vyhláškovou Ministerstva financí. Aktuální sazby jsou uvedeny v </w:t>
      </w:r>
      <w:r>
        <w:rPr>
          <w:rFonts w:cs="Arial"/>
          <w:b/>
          <w:bCs/>
          <w:sz w:val="22"/>
          <w:szCs w:val="22"/>
        </w:rPr>
        <w:t>příloze č. 5 - Sazby cestovních náhrad</w:t>
      </w:r>
      <w:r>
        <w:rPr>
          <w:rFonts w:cs="Arial"/>
          <w:bCs/>
          <w:sz w:val="22"/>
          <w:szCs w:val="22"/>
        </w:rPr>
        <w:t>. Stravné se zaokrouhluje na celé koruny nahoru.</w:t>
      </w:r>
    </w:p>
    <w:p>
      <w:pPr>
        <w:pStyle w:val="Normal"/>
        <w:jc w:val="both"/>
        <w:rPr>
          <w:rFonts w:cs="Arial"/>
          <w:sz w:val="20"/>
          <w:szCs w:val="20"/>
        </w:rPr>
      </w:pPr>
      <w:r>
        <w:rPr>
          <w:rFonts w:cs="Arial"/>
          <w:sz w:val="20"/>
          <w:szCs w:val="20"/>
        </w:rPr>
      </w:r>
    </w:p>
    <w:p>
      <w:pPr>
        <w:pStyle w:val="Heading2"/>
        <w:numPr>
          <w:ilvl w:val="1"/>
          <w:numId w:val="2"/>
        </w:numPr>
        <w:rPr/>
      </w:pPr>
      <w:bookmarkStart w:id="20" w:name="__RefHeading___Toc3951_220351804"/>
      <w:bookmarkEnd w:id="20"/>
      <w:r>
        <w:rPr/>
        <w:t>Zahraniční pracovní cesty</w:t>
      </w:r>
    </w:p>
    <w:p>
      <w:pPr>
        <w:pStyle w:val="Heading3"/>
        <w:numPr>
          <w:ilvl w:val="2"/>
          <w:numId w:val="2"/>
        </w:numPr>
        <w:rPr>
          <w:sz w:val="22"/>
          <w:szCs w:val="22"/>
        </w:rPr>
      </w:pPr>
      <w:bookmarkStart w:id="21" w:name="__RefHeading___Toc3953_220351804"/>
      <w:bookmarkEnd w:id="21"/>
      <w:r>
        <w:rPr>
          <w:sz w:val="22"/>
          <w:szCs w:val="22"/>
        </w:rPr>
        <w:t>Stravné</w:t>
      </w:r>
    </w:p>
    <w:p>
      <w:pPr>
        <w:pStyle w:val="Normal"/>
        <w:jc w:val="both"/>
        <w:rPr/>
      </w:pPr>
      <w:r>
        <w:rPr>
          <w:rFonts w:cs="Arial"/>
          <w:sz w:val="22"/>
          <w:szCs w:val="22"/>
        </w:rPr>
        <w:t xml:space="preserve">Zaměstnanci přísluší stravné v cizí měně. Výše stravného v cizí měně se určí ze základní sazby stravného stanovené pro stát, ve kterém zaměstnanec stráví v kalendářním dni nejvíce času. Sazby stravného </w:t>
      </w:r>
      <w:r>
        <w:rPr>
          <w:rFonts w:cs="Arial"/>
          <w:bCs/>
          <w:sz w:val="22"/>
          <w:szCs w:val="22"/>
        </w:rPr>
        <w:t xml:space="preserve">se řídí aktuální vyhláškovou Ministerstva financí, jsou uvedeny v </w:t>
      </w:r>
      <w:r>
        <w:rPr>
          <w:rFonts w:cs="Arial"/>
          <w:b/>
          <w:bCs/>
          <w:sz w:val="22"/>
          <w:szCs w:val="22"/>
        </w:rPr>
        <w:t>příloze č. 4 - Sazby cestovních náhrad.</w:t>
      </w:r>
    </w:p>
    <w:p>
      <w:pPr>
        <w:pStyle w:val="Normal"/>
        <w:ind w:left="510" w:right="0" w:hanging="0"/>
        <w:jc w:val="both"/>
        <w:rPr>
          <w:rFonts w:cs="Arial"/>
          <w:sz w:val="22"/>
          <w:szCs w:val="22"/>
        </w:rPr>
      </w:pPr>
      <w:r>
        <w:rPr>
          <w:rFonts w:cs="Arial"/>
          <w:sz w:val="22"/>
          <w:szCs w:val="22"/>
        </w:rPr>
      </w:r>
    </w:p>
    <w:p>
      <w:pPr>
        <w:pStyle w:val="Normal"/>
        <w:jc w:val="both"/>
        <w:rPr>
          <w:rFonts w:cs="Arial"/>
          <w:sz w:val="22"/>
          <w:szCs w:val="22"/>
        </w:rPr>
      </w:pPr>
      <w:r>
        <w:rPr>
          <w:rFonts w:cs="Arial"/>
          <w:sz w:val="22"/>
          <w:szCs w:val="22"/>
        </w:rPr>
        <w:t>Zaměstnanci nepřísluší stravné za dobu zahraniční pracovní cesty mimo území České republiky, která trvá méně než 1 hodinu. Pokud za dobu zahraniční pracovní cesty strávenou mimo území České republiky nevznikne zaměstnanci nárok na stravné v cizí měně, připočte se tato doba k době trvání pracovní cesty na území České republiky.</w:t>
      </w:r>
    </w:p>
    <w:p>
      <w:pPr>
        <w:pStyle w:val="Normal"/>
        <w:jc w:val="both"/>
        <w:rPr>
          <w:rFonts w:cs="Arial"/>
          <w:sz w:val="22"/>
          <w:szCs w:val="22"/>
        </w:rPr>
      </w:pPr>
      <w:r>
        <w:rPr>
          <w:rFonts w:cs="Arial"/>
          <w:sz w:val="22"/>
          <w:szCs w:val="22"/>
        </w:rPr>
      </w:r>
    </w:p>
    <w:p>
      <w:pPr>
        <w:pStyle w:val="Heading3"/>
        <w:numPr>
          <w:ilvl w:val="2"/>
          <w:numId w:val="2"/>
        </w:numPr>
        <w:rPr>
          <w:sz w:val="22"/>
          <w:szCs w:val="22"/>
        </w:rPr>
      </w:pPr>
      <w:bookmarkStart w:id="22" w:name="__RefHeading___Toc3955_220351804"/>
      <w:bookmarkEnd w:id="22"/>
      <w:r>
        <w:rPr>
          <w:sz w:val="22"/>
          <w:szCs w:val="22"/>
        </w:rPr>
        <w:t>Kapesné</w:t>
      </w:r>
    </w:p>
    <w:p>
      <w:pPr>
        <w:pStyle w:val="Normal"/>
        <w:jc w:val="both"/>
        <w:rPr>
          <w:rFonts w:cs="Arial"/>
          <w:sz w:val="22"/>
          <w:szCs w:val="22"/>
        </w:rPr>
      </w:pPr>
      <w:r>
        <w:rPr>
          <w:rFonts w:cs="Arial"/>
          <w:sz w:val="22"/>
          <w:szCs w:val="22"/>
        </w:rPr>
        <w:t>Organizace může poskytovat vedle stravného kapesné v cizí měně až do výše 40% stravného. Konečnou výši kapesného určí ředitel organizace při schvalování vyslání na zahraniční pracovní cestu.</w:t>
      </w:r>
    </w:p>
    <w:p>
      <w:pPr>
        <w:pStyle w:val="Normal"/>
        <w:ind w:left="405" w:right="0" w:hanging="0"/>
        <w:jc w:val="both"/>
        <w:rPr>
          <w:rFonts w:cs="Arial"/>
          <w:sz w:val="22"/>
          <w:szCs w:val="22"/>
        </w:rPr>
      </w:pPr>
      <w:r>
        <w:rPr>
          <w:rFonts w:cs="Arial"/>
          <w:sz w:val="22"/>
          <w:szCs w:val="22"/>
        </w:rPr>
      </w:r>
    </w:p>
    <w:p>
      <w:pPr>
        <w:pStyle w:val="Heading3"/>
        <w:numPr>
          <w:ilvl w:val="2"/>
          <w:numId w:val="2"/>
        </w:numPr>
        <w:rPr>
          <w:sz w:val="22"/>
          <w:szCs w:val="22"/>
        </w:rPr>
      </w:pPr>
      <w:bookmarkStart w:id="23" w:name="__RefHeading___Toc3957_220351804"/>
      <w:bookmarkEnd w:id="23"/>
      <w:r>
        <w:rPr>
          <w:sz w:val="22"/>
          <w:szCs w:val="22"/>
        </w:rPr>
        <w:t>Zálohy a vyúčtování pracovní cesty</w:t>
      </w:r>
    </w:p>
    <w:p>
      <w:pPr>
        <w:pStyle w:val="Normal"/>
        <w:jc w:val="both"/>
        <w:rPr>
          <w:rFonts w:cs="Arial"/>
          <w:sz w:val="22"/>
          <w:szCs w:val="22"/>
        </w:rPr>
      </w:pPr>
      <w:r>
        <w:rPr>
          <w:rFonts w:cs="Arial"/>
          <w:sz w:val="22"/>
          <w:szCs w:val="22"/>
        </w:rPr>
        <w:t>Před nastoupením pracovní cesty přísluší zaměstnanci záloha v cizí měně. Výše zálohy je odvozena od předpokládané doby trvání pracovní cesty. Výši zálohy stejně jako pracovní cestu schválí ředitel organizace. Pro určení korunové hodnoty stravného se použije kurz platný v den určení zálohy.</w:t>
      </w:r>
    </w:p>
    <w:p>
      <w:pPr>
        <w:pStyle w:val="Normal"/>
        <w:jc w:val="both"/>
        <w:rPr>
          <w:rFonts w:cs="Arial"/>
          <w:sz w:val="22"/>
          <w:szCs w:val="22"/>
        </w:rPr>
      </w:pPr>
      <w:r>
        <w:rPr>
          <w:rFonts w:cs="Arial"/>
          <w:sz w:val="22"/>
          <w:szCs w:val="22"/>
        </w:rPr>
      </w:r>
    </w:p>
    <w:p>
      <w:pPr>
        <w:pStyle w:val="Normal"/>
        <w:jc w:val="both"/>
        <w:rPr/>
      </w:pPr>
      <w:r>
        <w:rPr>
          <w:rFonts w:cs="Arial"/>
          <w:sz w:val="22"/>
          <w:szCs w:val="22"/>
        </w:rPr>
        <w:t xml:space="preserve">Pro vyúčtování bude použit kurz dne vyplacení zálohy na pracovní cestu, v případě nevyplacení zálohy potom kurz dne nástupu na pracovní cestu. </w:t>
      </w:r>
      <w:r>
        <w:rPr>
          <w:rFonts w:cs="Arial"/>
          <w:sz w:val="22"/>
          <w:szCs w:val="22"/>
          <w:u w:val="none"/>
        </w:rPr>
        <w:t>Pokud je zaměstnavatel povinen zaměstnanci doplatit doplatek vzniklý z vyúčtování  pracovní cesty je toto povinen provést v korunách v kurzu použitém pro vyúčtování pracovní cesty viz výše.</w:t>
      </w:r>
    </w:p>
    <w:p>
      <w:pPr>
        <w:pStyle w:val="Normal"/>
        <w:jc w:val="both"/>
        <w:rPr>
          <w:rFonts w:cs="Arial"/>
          <w:sz w:val="20"/>
          <w:szCs w:val="20"/>
        </w:rPr>
      </w:pPr>
      <w:r>
        <w:rPr>
          <w:rFonts w:cs="Arial"/>
          <w:sz w:val="20"/>
          <w:szCs w:val="20"/>
        </w:rPr>
      </w:r>
    </w:p>
    <w:p>
      <w:pPr>
        <w:pStyle w:val="Heading2"/>
        <w:numPr>
          <w:ilvl w:val="1"/>
          <w:numId w:val="2"/>
        </w:numPr>
        <w:rPr/>
      </w:pPr>
      <w:bookmarkStart w:id="24" w:name="__RefHeading___Toc3959_220351804"/>
      <w:bookmarkEnd w:id="24"/>
      <w:r>
        <w:rPr/>
        <w:t>Náhrady za použití osobního automobilu na pracovní cestě</w:t>
      </w:r>
    </w:p>
    <w:p>
      <w:pPr>
        <w:pStyle w:val="Normal"/>
        <w:jc w:val="both"/>
        <w:rPr>
          <w:rFonts w:cs="Arial"/>
          <w:sz w:val="22"/>
          <w:szCs w:val="22"/>
        </w:rPr>
      </w:pPr>
      <w:r>
        <w:rPr>
          <w:rFonts w:cs="Arial"/>
          <w:sz w:val="22"/>
          <w:szCs w:val="22"/>
        </w:rPr>
        <w:t>Při pracovních cestách mohou pracovníci využívat soukromé osobní automobily. V opodstatněných případech může organizace využít osobní automobily pronajaté od společností, které mají k pronájmu osobních automobilů oprávnění. Při použití soukromého osobního automobilu ke služebním účelům je zaměstnanec povinen:</w:t>
      </w:r>
    </w:p>
    <w:p>
      <w:pPr>
        <w:pStyle w:val="Normal"/>
        <w:numPr>
          <w:ilvl w:val="0"/>
          <w:numId w:val="4"/>
        </w:numPr>
        <w:jc w:val="both"/>
        <w:rPr>
          <w:rFonts w:cs="Arial"/>
          <w:sz w:val="22"/>
          <w:szCs w:val="22"/>
        </w:rPr>
      </w:pPr>
      <w:r>
        <w:rPr>
          <w:rFonts w:cs="Arial"/>
          <w:sz w:val="22"/>
          <w:szCs w:val="22"/>
        </w:rPr>
        <w:t>předložit rozpis ujetých kilometrů (součást formuláře cestovní příkaz)</w:t>
      </w:r>
    </w:p>
    <w:p>
      <w:pPr>
        <w:pStyle w:val="Normal"/>
        <w:numPr>
          <w:ilvl w:val="0"/>
          <w:numId w:val="4"/>
        </w:numPr>
        <w:jc w:val="both"/>
        <w:rPr>
          <w:rFonts w:cs="Arial"/>
          <w:sz w:val="22"/>
          <w:szCs w:val="22"/>
        </w:rPr>
      </w:pPr>
      <w:r>
        <w:rPr>
          <w:rFonts w:cs="Arial"/>
          <w:sz w:val="22"/>
          <w:szCs w:val="22"/>
        </w:rPr>
        <w:t>předat fotokopii velkého technického průkazu, případně doklad o úhradě silniční daně (před vysláním na pracovní cestu)</w:t>
      </w:r>
    </w:p>
    <w:p>
      <w:pPr>
        <w:pStyle w:val="Normal"/>
        <w:numPr>
          <w:ilvl w:val="0"/>
          <w:numId w:val="4"/>
        </w:numPr>
        <w:jc w:val="both"/>
        <w:rPr>
          <w:rFonts w:cs="Arial"/>
          <w:sz w:val="22"/>
          <w:szCs w:val="22"/>
        </w:rPr>
      </w:pPr>
      <w:r>
        <w:rPr>
          <w:rFonts w:cs="Arial"/>
          <w:sz w:val="22"/>
          <w:szCs w:val="22"/>
        </w:rPr>
        <w:t>doklad o zaplacení pohonných hmot</w:t>
      </w:r>
    </w:p>
    <w:p>
      <w:pPr>
        <w:pStyle w:val="Normal"/>
        <w:numPr>
          <w:ilvl w:val="0"/>
          <w:numId w:val="4"/>
        </w:numPr>
        <w:jc w:val="both"/>
        <w:rPr>
          <w:rFonts w:cs="Arial"/>
          <w:sz w:val="22"/>
          <w:szCs w:val="22"/>
        </w:rPr>
      </w:pPr>
      <w:r>
        <w:rPr>
          <w:rFonts w:cs="Arial"/>
          <w:sz w:val="22"/>
          <w:szCs w:val="22"/>
        </w:rPr>
        <w:t>vyplnit cestovní příkaz včetně výpočtu</w:t>
      </w:r>
    </w:p>
    <w:p>
      <w:pPr>
        <w:pStyle w:val="Normal"/>
        <w:ind w:left="720" w:right="0" w:hanging="0"/>
        <w:jc w:val="both"/>
        <w:rPr>
          <w:rFonts w:cs="Arial"/>
          <w:sz w:val="22"/>
          <w:szCs w:val="22"/>
          <w:u w:val="single"/>
        </w:rPr>
      </w:pPr>
      <w:r>
        <w:rPr>
          <w:rFonts w:cs="Arial"/>
          <w:sz w:val="22"/>
          <w:szCs w:val="22"/>
          <w:u w:val="single"/>
        </w:rPr>
      </w:r>
    </w:p>
    <w:p>
      <w:pPr>
        <w:pStyle w:val="Heading3"/>
        <w:numPr>
          <w:ilvl w:val="2"/>
          <w:numId w:val="2"/>
        </w:numPr>
        <w:rPr>
          <w:sz w:val="22"/>
          <w:szCs w:val="22"/>
        </w:rPr>
      </w:pPr>
      <w:bookmarkStart w:id="25" w:name="__RefHeading___Toc3961_220351804"/>
      <w:bookmarkEnd w:id="25"/>
      <w:r>
        <w:rPr>
          <w:sz w:val="22"/>
          <w:szCs w:val="22"/>
        </w:rPr>
        <w:t>Náhrady jízdného při tuzemské pracovní cestě</w:t>
      </w:r>
    </w:p>
    <w:p>
      <w:pPr>
        <w:pStyle w:val="Normal"/>
        <w:jc w:val="both"/>
        <w:rPr>
          <w:rFonts w:cs="Arial"/>
          <w:sz w:val="22"/>
          <w:szCs w:val="22"/>
        </w:rPr>
      </w:pPr>
      <w:r>
        <w:rPr>
          <w:rFonts w:cs="Arial"/>
          <w:sz w:val="22"/>
          <w:szCs w:val="22"/>
        </w:rPr>
        <w:t>Zaměstnanci přísluší za 1 km jízdy:</w:t>
      </w:r>
    </w:p>
    <w:p>
      <w:pPr>
        <w:pStyle w:val="Normal"/>
        <w:numPr>
          <w:ilvl w:val="0"/>
          <w:numId w:val="12"/>
        </w:numPr>
        <w:jc w:val="both"/>
        <w:rPr>
          <w:rFonts w:cs="Arial"/>
          <w:sz w:val="22"/>
          <w:szCs w:val="22"/>
        </w:rPr>
      </w:pPr>
      <w:r>
        <w:rPr>
          <w:rFonts w:cs="Arial"/>
          <w:sz w:val="22"/>
          <w:szCs w:val="22"/>
        </w:rPr>
        <w:t>náhrada za spotřebované pohonné hmoty, která se vypočte z ceny pohonné hmoty a průměrné spotřeby.</w:t>
      </w:r>
    </w:p>
    <w:p>
      <w:pPr>
        <w:pStyle w:val="Normal"/>
        <w:numPr>
          <w:ilvl w:val="0"/>
          <w:numId w:val="12"/>
        </w:numPr>
        <w:jc w:val="both"/>
        <w:rPr>
          <w:rFonts w:cs="Arial"/>
          <w:sz w:val="22"/>
          <w:szCs w:val="22"/>
        </w:rPr>
      </w:pPr>
      <w:r>
        <w:rPr>
          <w:rFonts w:cs="Arial"/>
          <w:sz w:val="22"/>
          <w:szCs w:val="22"/>
        </w:rPr>
        <w:t xml:space="preserve">náhrada za opotřebení vozidla dle vyhlášky Ministerstva financí viz příloha č. 1. </w:t>
      </w:r>
    </w:p>
    <w:p>
      <w:pPr>
        <w:pStyle w:val="Normal"/>
        <w:jc w:val="both"/>
        <w:rPr>
          <w:rFonts w:cs="Arial"/>
          <w:sz w:val="22"/>
          <w:szCs w:val="22"/>
        </w:rPr>
      </w:pPr>
      <w:r>
        <w:rPr>
          <w:rFonts w:cs="Arial"/>
          <w:sz w:val="22"/>
          <w:szCs w:val="22"/>
        </w:rPr>
      </w:r>
    </w:p>
    <w:p>
      <w:pPr>
        <w:pStyle w:val="Normal"/>
        <w:jc w:val="both"/>
        <w:rPr/>
      </w:pPr>
      <w:r>
        <w:rPr>
          <w:rFonts w:cs="Arial"/>
          <w:sz w:val="22"/>
          <w:szCs w:val="22"/>
        </w:rPr>
        <w:t xml:space="preserve">Sazby základních náhrad a průměrné ceny pohonných hmot se zaokrouhlují na celé koruny směrem dolů. Zaměstnanec může pro potřeby výpočtu náhrady prokázat nákupní cenu dokladem o nákupu pohonných hmot s datem uskutečněné pracovní cesty. V případě, že nákup neprokáže, bude použita průměrná cena podle vyhlášky Ministerstva práce a sociálních věcí platná pro příslušné období, viz </w:t>
      </w:r>
      <w:r>
        <w:rPr>
          <w:rFonts w:cs="Arial"/>
          <w:b/>
          <w:bCs/>
          <w:sz w:val="22"/>
          <w:szCs w:val="22"/>
        </w:rPr>
        <w:t>příloha č. 4 – Sazby cestovních náhrad</w:t>
      </w:r>
      <w:r>
        <w:rPr>
          <w:rFonts w:cs="Arial"/>
          <w:sz w:val="22"/>
          <w:szCs w:val="22"/>
        </w:rPr>
        <w:t>.</w:t>
      </w:r>
    </w:p>
    <w:p>
      <w:pPr>
        <w:pStyle w:val="Normal"/>
        <w:ind w:left="0" w:right="0" w:hanging="0"/>
        <w:jc w:val="both"/>
        <w:rPr>
          <w:rFonts w:eastAsia="Arial" w:cs="Arial"/>
          <w:sz w:val="22"/>
          <w:szCs w:val="22"/>
        </w:rPr>
      </w:pPr>
      <w:r>
        <w:rPr>
          <w:rFonts w:eastAsia="Arial" w:cs="Arial"/>
          <w:sz w:val="22"/>
          <w:szCs w:val="22"/>
        </w:rPr>
      </w:r>
    </w:p>
    <w:p>
      <w:pPr>
        <w:pStyle w:val="Heading3"/>
        <w:numPr>
          <w:ilvl w:val="2"/>
          <w:numId w:val="2"/>
        </w:numPr>
        <w:rPr>
          <w:sz w:val="22"/>
          <w:szCs w:val="22"/>
        </w:rPr>
      </w:pPr>
      <w:bookmarkStart w:id="26" w:name="__RefHeading___Toc3963_220351804"/>
      <w:bookmarkEnd w:id="26"/>
      <w:r>
        <w:rPr>
          <w:sz w:val="22"/>
          <w:szCs w:val="22"/>
        </w:rPr>
        <w:t>Náhrady při zahraniční pracovní cestě</w:t>
      </w:r>
    </w:p>
    <w:p>
      <w:pPr>
        <w:pStyle w:val="Normal"/>
        <w:jc w:val="both"/>
        <w:rPr>
          <w:rFonts w:cs="Arial"/>
          <w:sz w:val="22"/>
          <w:szCs w:val="22"/>
        </w:rPr>
      </w:pPr>
      <w:r>
        <w:rPr>
          <w:rFonts w:cs="Arial"/>
          <w:sz w:val="22"/>
          <w:szCs w:val="22"/>
        </w:rPr>
        <w:t>Při poskytování náhrad za používání silničních motorových vozidel při zahraniční pracovní cestě přísluší zaměstnanci náhrada za pohonné hmoty v cizí měně za kilometry ujeté v zahraniční.</w:t>
      </w:r>
      <w:r>
        <w:br w:type="page"/>
      </w:r>
    </w:p>
    <w:p>
      <w:pPr>
        <w:pStyle w:val="Heading1"/>
        <w:numPr>
          <w:ilvl w:val="0"/>
          <w:numId w:val="2"/>
        </w:numPr>
        <w:ind w:left="0" w:right="0" w:hanging="0"/>
        <w:rPr/>
      </w:pPr>
      <w:bookmarkStart w:id="27" w:name="__RefHeading___Toc7642_573671802"/>
      <w:bookmarkEnd w:id="27"/>
      <w:r>
        <w:rPr/>
        <w:t>Kurzové rozdíly</w:t>
      </w:r>
    </w:p>
    <w:p>
      <w:pPr>
        <w:pStyle w:val="Normal"/>
        <w:jc w:val="both"/>
        <w:rPr>
          <w:rFonts w:ascii="Arial" w:hAnsi="Arial" w:cs="Arial"/>
        </w:rPr>
      </w:pPr>
      <w:r>
        <w:rPr>
          <w:rFonts w:cs="Arial"/>
        </w:rPr>
      </w:r>
    </w:p>
    <w:p>
      <w:pPr>
        <w:pStyle w:val="Heading2"/>
        <w:numPr>
          <w:ilvl w:val="1"/>
          <w:numId w:val="2"/>
        </w:numPr>
        <w:rPr/>
      </w:pPr>
      <w:bookmarkStart w:id="28" w:name="__RefHeading___Toc3965_220351804"/>
      <w:bookmarkEnd w:id="28"/>
      <w:r>
        <w:rPr/>
        <w:t>Úvodní ustanovení</w:t>
      </w:r>
    </w:p>
    <w:p>
      <w:pPr>
        <w:pStyle w:val="Normal"/>
        <w:jc w:val="both"/>
        <w:rPr>
          <w:rFonts w:ascii="Arial" w:hAnsi="Arial" w:cs="Arial"/>
        </w:rPr>
      </w:pPr>
      <w:r>
        <w:rPr>
          <w:rFonts w:cs="Arial"/>
        </w:rPr>
      </w:r>
    </w:p>
    <w:p>
      <w:pPr>
        <w:pStyle w:val="Normal"/>
        <w:jc w:val="both"/>
        <w:rPr>
          <w:rFonts w:ascii="Arial" w:hAnsi="Arial" w:cs="Arial"/>
        </w:rPr>
      </w:pPr>
      <w:r>
        <w:rPr>
          <w:rFonts w:cs="Arial"/>
        </w:rPr>
        <w:t>Touto směrnicí se stanovují základní pravidla pro používání kurzů a přepočet cizích měn na českou měnu.</w:t>
      </w:r>
    </w:p>
    <w:p>
      <w:pPr>
        <w:pStyle w:val="Normal"/>
        <w:jc w:val="both"/>
        <w:rPr>
          <w:rFonts w:ascii="Arial" w:hAnsi="Arial" w:cs="Arial"/>
        </w:rPr>
      </w:pPr>
      <w:r>
        <w:rPr>
          <w:rFonts w:cs="Arial"/>
        </w:rPr>
      </w:r>
    </w:p>
    <w:p>
      <w:pPr>
        <w:pStyle w:val="Heading2"/>
        <w:numPr>
          <w:ilvl w:val="1"/>
          <w:numId w:val="2"/>
        </w:numPr>
        <w:rPr/>
      </w:pPr>
      <w:bookmarkStart w:id="29" w:name="__RefHeading___Toc3967_220351804"/>
      <w:bookmarkEnd w:id="29"/>
      <w:r>
        <w:rPr/>
        <w:t>Stanovení a používání  kurzů</w:t>
      </w:r>
    </w:p>
    <w:p>
      <w:pPr>
        <w:pStyle w:val="Normal"/>
        <w:jc w:val="both"/>
        <w:rPr>
          <w:rFonts w:ascii="Arial" w:hAnsi="Arial" w:cs="Arial"/>
        </w:rPr>
      </w:pPr>
      <w:r>
        <w:rPr>
          <w:rFonts w:cs="Arial"/>
        </w:rPr>
      </w:r>
    </w:p>
    <w:p>
      <w:pPr>
        <w:pStyle w:val="Normal"/>
        <w:jc w:val="both"/>
        <w:rPr/>
      </w:pPr>
      <w:r>
        <w:rPr>
          <w:rFonts w:cs="Arial"/>
        </w:rPr>
        <w:t>Účetní jednotka používá pro přepočet cizích měn denní kurzy stanovené kurzovním lístkem ČNB. Při nákupu cizích měn se</w:t>
      </w:r>
      <w:r>
        <w:rPr>
          <w:color w:val="000000"/>
        </w:rPr>
        <w:t xml:space="preserve"> používá k jejich ocenění kurz dané obchodní banky, případně směnárny, přes kterou byla operace provedena. Podkladem je kurzovní lístek příslušného dne.</w:t>
      </w:r>
      <w:r>
        <w:rPr>
          <w:color w:val="FF0000"/>
        </w:rPr>
        <w:t xml:space="preserve"> </w:t>
      </w:r>
      <w:r>
        <w:rPr>
          <w:color w:val="000000"/>
        </w:rPr>
        <w:t xml:space="preserve">Přepočet zůstatků je prováděn ročně k rozvahovému dni kurzem ČNB tohoto dne. </w:t>
      </w:r>
    </w:p>
    <w:p>
      <w:pPr>
        <w:pStyle w:val="Normal"/>
        <w:jc w:val="both"/>
        <w:rPr>
          <w:rFonts w:ascii="Arial" w:hAnsi="Arial" w:cs="Arial"/>
        </w:rPr>
      </w:pPr>
      <w:r>
        <w:rPr>
          <w:rFonts w:cs="Arial"/>
        </w:rPr>
      </w:r>
    </w:p>
    <w:p>
      <w:pPr>
        <w:pStyle w:val="Heading2"/>
        <w:numPr>
          <w:ilvl w:val="1"/>
          <w:numId w:val="2"/>
        </w:numPr>
        <w:rPr/>
      </w:pPr>
      <w:bookmarkStart w:id="30" w:name="__RefHeading___Toc3969_220351804"/>
      <w:bookmarkEnd w:id="30"/>
      <w:r>
        <w:rPr/>
        <w:t>Kurzové rozdíly</w:t>
      </w:r>
    </w:p>
    <w:p>
      <w:pPr>
        <w:pStyle w:val="Normal"/>
        <w:jc w:val="both"/>
        <w:rPr>
          <w:rFonts w:ascii="Arial" w:hAnsi="Arial" w:cs="Arial"/>
        </w:rPr>
      </w:pPr>
      <w:r>
        <w:rPr>
          <w:rFonts w:cs="Arial"/>
        </w:rPr>
      </w:r>
    </w:p>
    <w:p>
      <w:pPr>
        <w:pStyle w:val="Normal"/>
        <w:jc w:val="both"/>
        <w:rPr>
          <w:rFonts w:ascii="Arial" w:hAnsi="Arial" w:cs="Arial"/>
        </w:rPr>
      </w:pPr>
      <w:r>
        <w:rPr>
          <w:rFonts w:cs="Arial"/>
        </w:rPr>
        <w:t>Datum uskutečnění účetního případu pro stanovení správného kurzu je při vystavení účetního dokladu za uskutečněné plnění datum vystavení dokladu.</w:t>
      </w:r>
    </w:p>
    <w:p>
      <w:pPr>
        <w:pStyle w:val="Normal"/>
        <w:jc w:val="both"/>
        <w:rPr>
          <w:rFonts w:ascii="Arial" w:hAnsi="Arial" w:cs="Arial"/>
        </w:rPr>
      </w:pPr>
      <w:r>
        <w:rPr>
          <w:rFonts w:cs="Arial"/>
        </w:rPr>
      </w:r>
    </w:p>
    <w:p>
      <w:pPr>
        <w:pStyle w:val="Normal"/>
        <w:jc w:val="both"/>
        <w:rPr>
          <w:rFonts w:ascii="Arial" w:hAnsi="Arial" w:cs="Arial"/>
        </w:rPr>
      </w:pPr>
      <w:r>
        <w:rPr>
          <w:rFonts w:cs="Arial"/>
        </w:rPr>
        <w:t>Datum uskutečnění účetního případu pro stanovení správného kurzu při přijetí dokladu za přijaté plnění je datum vystavení dokladu.</w:t>
      </w:r>
    </w:p>
    <w:p>
      <w:pPr>
        <w:pStyle w:val="Normal"/>
        <w:jc w:val="both"/>
        <w:rPr>
          <w:rFonts w:ascii="Arial" w:hAnsi="Arial" w:cs="Arial"/>
        </w:rPr>
      </w:pPr>
      <w:r>
        <w:rPr>
          <w:rFonts w:cs="Arial"/>
        </w:rPr>
      </w:r>
    </w:p>
    <w:p>
      <w:pPr>
        <w:pStyle w:val="Normal"/>
        <w:jc w:val="both"/>
        <w:rPr/>
      </w:pPr>
      <w:r>
        <w:rPr>
          <w:rFonts w:cs="Arial"/>
        </w:rPr>
        <w:t>Realizovaný kurzový rozdíl se vypočítá v den jeho vzniku, tj. při úhradě závazků a pohledávek. K výpočtu nerealizovaných kurzových rozdílů k rozvahovému dni, případně jinému dni, ke kterému se sestavuje účetní závěrka, se použije kurz stanovený ke dni vyhotovení účetní závěrky (běžně 31.12.).</w:t>
      </w:r>
    </w:p>
    <w:p>
      <w:pPr>
        <w:pStyle w:val="Normal"/>
        <w:jc w:val="both"/>
        <w:rPr>
          <w:rFonts w:ascii="Arial" w:hAnsi="Arial" w:cs="Arial"/>
        </w:rPr>
      </w:pPr>
      <w:r>
        <w:rPr>
          <w:rFonts w:cs="Arial"/>
        </w:rPr>
      </w:r>
    </w:p>
    <w:p>
      <w:pPr>
        <w:pStyle w:val="Normal"/>
        <w:jc w:val="both"/>
        <w:rPr>
          <w:rFonts w:ascii="Arial" w:hAnsi="Arial" w:cs="Arial"/>
        </w:rPr>
      </w:pPr>
      <w:r>
        <w:rPr>
          <w:rFonts w:cs="Arial"/>
        </w:rPr>
      </w:r>
    </w:p>
    <w:p>
      <w:pPr>
        <w:pStyle w:val="Heading1"/>
        <w:widowControl/>
        <w:numPr>
          <w:ilvl w:val="0"/>
          <w:numId w:val="0"/>
        </w:numPr>
        <w:suppressAutoHyphens w:val="true"/>
        <w:ind w:left="0" w:right="0" w:hanging="0"/>
        <w:jc w:val="left"/>
        <w:rPr>
          <w:rFonts w:ascii="Arial" w:hAnsi="Arial" w:cs="Arial"/>
        </w:rPr>
      </w:pPr>
      <w:r>
        <w:rPr>
          <w:rFonts w:cs="Arial"/>
        </w:rPr>
      </w:r>
      <w:r>
        <w:br w:type="page"/>
      </w:r>
    </w:p>
    <w:p>
      <w:pPr>
        <w:pStyle w:val="Heading1"/>
        <w:numPr>
          <w:ilvl w:val="0"/>
          <w:numId w:val="2"/>
        </w:numPr>
        <w:ind w:left="0" w:right="0" w:hanging="0"/>
        <w:rPr/>
      </w:pPr>
      <w:bookmarkStart w:id="31" w:name="__RefHeading___Toc6667_173049253"/>
      <w:bookmarkEnd w:id="31"/>
      <w:r>
        <w:rPr/>
        <w:t>Dlouhodobý a drobný majetek, oceňování, odpisový plán</w:t>
      </w:r>
    </w:p>
    <w:p>
      <w:pPr>
        <w:pStyle w:val="Normal"/>
        <w:jc w:val="both"/>
        <w:rPr>
          <w:rFonts w:ascii="Arial" w:hAnsi="Arial" w:cs="Arial"/>
        </w:rPr>
      </w:pPr>
      <w:r>
        <w:rPr>
          <w:rFonts w:cs="Arial"/>
        </w:rPr>
      </w:r>
    </w:p>
    <w:p>
      <w:pPr>
        <w:pStyle w:val="Heading2"/>
        <w:numPr>
          <w:ilvl w:val="1"/>
          <w:numId w:val="2"/>
        </w:numPr>
        <w:rPr/>
      </w:pPr>
      <w:bookmarkStart w:id="32" w:name="__RefHeading___Toc3971_220351804"/>
      <w:bookmarkEnd w:id="32"/>
      <w:r>
        <w:rPr/>
        <w:t>Úvodní ustanovení</w:t>
      </w:r>
    </w:p>
    <w:p>
      <w:pPr>
        <w:pStyle w:val="Normal"/>
        <w:jc w:val="both"/>
        <w:rPr>
          <w:rFonts w:ascii="Arial" w:hAnsi="Arial" w:eastAsia="Arial" w:cs="Arial"/>
          <w:b w:val="false"/>
          <w:b w:val="false"/>
          <w:bCs w:val="false"/>
          <w:szCs w:val="24"/>
        </w:rPr>
      </w:pPr>
      <w:r>
        <w:rPr>
          <w:rFonts w:eastAsia="Arial" w:cs="Arial"/>
          <w:b w:val="false"/>
          <w:bCs w:val="false"/>
          <w:szCs w:val="24"/>
        </w:rPr>
        <w:t xml:space="preserve">Ve smyslu ustanovení § 28 zákona č. 563/91 Sb. o účetnictví je touto směrnicí stanoven vnitřní odpisový plán jako podklad pro výpočet účetních odpisů dlouhodobého hmotného a nehmotného majetku. </w:t>
      </w:r>
    </w:p>
    <w:p>
      <w:pPr>
        <w:pStyle w:val="Normal"/>
        <w:ind w:left="360" w:right="0" w:hanging="0"/>
        <w:jc w:val="both"/>
        <w:rPr>
          <w:rFonts w:ascii="Arial" w:hAnsi="Arial" w:cs="Arial"/>
        </w:rPr>
      </w:pPr>
      <w:r>
        <w:rPr>
          <w:rFonts w:cs="Arial"/>
        </w:rPr>
      </w:r>
    </w:p>
    <w:p>
      <w:pPr>
        <w:pStyle w:val="Heading2"/>
        <w:numPr>
          <w:ilvl w:val="1"/>
          <w:numId w:val="2"/>
        </w:numPr>
        <w:rPr/>
      </w:pPr>
      <w:bookmarkStart w:id="33" w:name="__RefHeading___Toc3973_220351804"/>
      <w:bookmarkEnd w:id="33"/>
      <w:r>
        <w:rPr/>
        <w:t>Základní pojmy a jejich vymezení</w:t>
      </w:r>
    </w:p>
    <w:p>
      <w:pPr>
        <w:pStyle w:val="Normal"/>
        <w:jc w:val="both"/>
        <w:rPr/>
      </w:pPr>
      <w:r>
        <w:rPr>
          <w:rFonts w:cs="Arial"/>
          <w:b/>
          <w:bCs/>
        </w:rPr>
        <w:t>Dlouhodobý nehmotný majetek –</w:t>
      </w:r>
      <w:r>
        <w:rPr>
          <w:rFonts w:cs="Arial"/>
        </w:rPr>
        <w:t xml:space="preserve"> majetek, jehož doba použitelnosti je vyšší než jeden rok a ocenění jedné položky převyšuje 60 000</w:t>
      </w:r>
      <w:r>
        <w:rPr>
          <w:rFonts w:cs="Arial"/>
          <w:lang w:bidi="zxx"/>
        </w:rPr>
        <w:t> </w:t>
      </w:r>
      <w:r>
        <w:rPr>
          <w:rFonts w:cs="Arial"/>
        </w:rPr>
        <w:t>Kč - účtován na příslušné rozvahové účty účtové skupiny 01X.</w:t>
      </w:r>
    </w:p>
    <w:p>
      <w:pPr>
        <w:pStyle w:val="Normal"/>
        <w:jc w:val="both"/>
        <w:rPr/>
      </w:pPr>
      <w:r>
        <w:rPr>
          <w:rFonts w:cs="Arial"/>
          <w:b/>
          <w:bCs/>
        </w:rPr>
        <w:t>Drobný nehmotný majetek –</w:t>
      </w:r>
      <w:r>
        <w:rPr>
          <w:rFonts w:cs="Arial"/>
        </w:rPr>
        <w:t xml:space="preserve"> majetek, jehož ocenění jedné položky je v rozsahu do 60 000</w:t>
      </w:r>
      <w:r>
        <w:rPr>
          <w:rFonts w:cs="Arial"/>
          <w:lang w:bidi="zxx"/>
        </w:rPr>
        <w:t> </w:t>
      </w:r>
      <w:r>
        <w:rPr>
          <w:rFonts w:cs="Arial"/>
        </w:rPr>
        <w:t>Kč včetně - účtován přímo do spotřeby na syntetický účet 518 - Služby a je sledován a evidován pouze interní excellovou evidencí účetní jednotky.</w:t>
      </w:r>
    </w:p>
    <w:p>
      <w:pPr>
        <w:pStyle w:val="Normal"/>
        <w:jc w:val="both"/>
        <w:rPr/>
      </w:pPr>
      <w:r>
        <w:rPr>
          <w:rFonts w:cs="Arial"/>
          <w:b/>
          <w:bCs/>
        </w:rPr>
        <w:t>Dlouhodobý hmotný majetek –</w:t>
      </w:r>
      <w:r>
        <w:rPr>
          <w:rFonts w:cs="Arial"/>
        </w:rPr>
        <w:t xml:space="preserve"> majetek, jehož doba použitelnosti je vyšší než jeden rok a ocenění jedné položky je vyšší než 80 000</w:t>
      </w:r>
      <w:r>
        <w:rPr>
          <w:rFonts w:cs="Arial"/>
          <w:lang w:bidi="zxx"/>
        </w:rPr>
        <w:t> </w:t>
      </w:r>
      <w:r>
        <w:rPr>
          <w:rFonts w:cs="Arial"/>
        </w:rPr>
        <w:t>Kč - účtován na příslušné rozvahové účty účtové skupiny 02X a 03X.</w:t>
      </w:r>
    </w:p>
    <w:p>
      <w:pPr>
        <w:pStyle w:val="Normal"/>
        <w:jc w:val="both"/>
        <w:rPr/>
      </w:pPr>
      <w:r>
        <w:rPr>
          <w:rFonts w:cs="Arial"/>
          <w:b/>
          <w:bCs/>
        </w:rPr>
        <w:t>Drobný hmotný majetek</w:t>
      </w:r>
      <w:r>
        <w:rPr>
          <w:rFonts w:cs="Arial"/>
        </w:rPr>
        <w:t xml:space="preserve"> – majetek, jehož ocenění jedné položky je v rozsahu do 40 000 Kč včetně - </w:t>
      </w:r>
      <w:r>
        <w:rPr>
          <w:rFonts w:cs="Arial"/>
          <w:u w:val="none"/>
        </w:rPr>
        <w:t>účtován přímo do spotřeby na syntetický účet 501 - Materiál a je sledován a evidován pouze interní excelovou evidencí účetní jednotky.</w:t>
      </w:r>
    </w:p>
    <w:p>
      <w:pPr>
        <w:pStyle w:val="Normal"/>
        <w:jc w:val="both"/>
        <w:rPr/>
      </w:pPr>
      <w:r>
        <w:rPr>
          <w:rFonts w:cs="Arial"/>
          <w:b/>
          <w:u w:val="none"/>
        </w:rPr>
        <w:t xml:space="preserve">Dlouhodobý finanční majetek – </w:t>
      </w:r>
      <w:r>
        <w:rPr>
          <w:rFonts w:cs="Arial"/>
          <w:b w:val="false"/>
          <w:bCs w:val="false"/>
          <w:u w:val="none"/>
        </w:rPr>
        <w:t>finanční majetek, u něhož je předpoklad držení účetní jednotkou déle než jeden rok - účtován na příslušné rozvahové účty účtové skupiny 06x.</w:t>
      </w:r>
    </w:p>
    <w:p>
      <w:pPr>
        <w:pStyle w:val="Normal"/>
        <w:jc w:val="both"/>
        <w:rPr>
          <w:rFonts w:ascii="Arial" w:hAnsi="Arial" w:cs="Arial"/>
          <w:b/>
          <w:b/>
          <w:u w:val="none"/>
        </w:rPr>
      </w:pPr>
      <w:r>
        <w:rPr>
          <w:rFonts w:cs="Arial"/>
          <w:b/>
          <w:u w:val="none"/>
        </w:rPr>
      </w:r>
    </w:p>
    <w:p>
      <w:pPr>
        <w:pStyle w:val="Normal"/>
        <w:jc w:val="both"/>
        <w:rPr>
          <w:rFonts w:ascii="Arial" w:hAnsi="Arial" w:cs="Arial"/>
          <w:b/>
          <w:b/>
          <w:u w:val="none"/>
        </w:rPr>
      </w:pPr>
      <w:r>
        <w:rPr>
          <w:rFonts w:cs="Arial"/>
          <w:b/>
          <w:u w:val="none"/>
        </w:rPr>
      </w:r>
    </w:p>
    <w:p>
      <w:pPr>
        <w:pStyle w:val="Heading2"/>
        <w:numPr>
          <w:ilvl w:val="1"/>
          <w:numId w:val="2"/>
        </w:numPr>
        <w:rPr/>
      </w:pPr>
      <w:bookmarkStart w:id="34" w:name="__RefHeading___Toc3975_220351804"/>
      <w:bookmarkEnd w:id="34"/>
      <w:r>
        <w:rPr/>
        <w:t>Oceňování majetku a závazků</w:t>
      </w:r>
    </w:p>
    <w:p>
      <w:pPr>
        <w:pStyle w:val="Normal"/>
        <w:jc w:val="both"/>
        <w:rPr/>
      </w:pPr>
      <w:r>
        <w:rPr>
          <w:rFonts w:cs="Arial"/>
          <w:b/>
          <w:lang w:bidi="zxx"/>
        </w:rPr>
        <w:t>Hmotný majetek kromě zásob -</w:t>
      </w:r>
      <w:r>
        <w:rPr>
          <w:rFonts w:cs="Arial"/>
          <w:lang w:bidi="zxx"/>
        </w:rPr>
        <w:t xml:space="preserve"> pořizovací cenou (tj. cena pořízení a náklady spojené s pořízením, zejména doprava, montáž, instalace apod.) v případě nákupu, odborným odhadem v případě daru</w:t>
      </w:r>
    </w:p>
    <w:p>
      <w:pPr>
        <w:pStyle w:val="Normal"/>
        <w:jc w:val="both"/>
        <w:rPr/>
      </w:pPr>
      <w:r>
        <w:rPr>
          <w:rFonts w:cs="Arial"/>
          <w:b/>
          <w:lang w:bidi="zxx"/>
        </w:rPr>
        <w:t>Hmotný majetek kromě zásob vytvořený vlastní činností -</w:t>
      </w:r>
      <w:r>
        <w:rPr>
          <w:rFonts w:cs="Arial"/>
          <w:lang w:bidi="zxx"/>
        </w:rPr>
        <w:t xml:space="preserve"> vlastními náklady (tj. přímými náklady a nepřímými náklady), v případě zařazení majetku vytvořeného vlastní činností je přiložena podrobná kalkulace vlastních nákladů</w:t>
      </w:r>
    </w:p>
    <w:p>
      <w:pPr>
        <w:pStyle w:val="Normal"/>
        <w:jc w:val="both"/>
        <w:rPr/>
      </w:pPr>
      <w:r>
        <w:rPr>
          <w:rFonts w:cs="Arial"/>
          <w:b/>
          <w:lang w:bidi="zxx"/>
        </w:rPr>
        <w:t>Nehmotný majetek nakoupený -</w:t>
      </w:r>
      <w:r>
        <w:rPr>
          <w:rFonts w:cs="Arial"/>
          <w:lang w:bidi="zxx"/>
        </w:rPr>
        <w:t xml:space="preserve"> pořizovací cenou</w:t>
      </w:r>
    </w:p>
    <w:p>
      <w:pPr>
        <w:pStyle w:val="Normal"/>
        <w:jc w:val="both"/>
        <w:rPr/>
      </w:pPr>
      <w:r>
        <w:rPr>
          <w:rFonts w:cs="Arial"/>
          <w:b/>
          <w:lang w:bidi="zxx"/>
        </w:rPr>
        <w:t>Finanční majetek -</w:t>
      </w:r>
      <w:r>
        <w:rPr>
          <w:rFonts w:cs="Arial"/>
          <w:lang w:bidi="zxx"/>
        </w:rPr>
        <w:t xml:space="preserve"> pořizovací cenou</w:t>
      </w:r>
    </w:p>
    <w:p>
      <w:pPr>
        <w:pStyle w:val="Normal"/>
        <w:jc w:val="both"/>
        <w:rPr/>
      </w:pPr>
      <w:r>
        <w:rPr>
          <w:rFonts w:cs="Arial"/>
          <w:b/>
          <w:lang w:bidi="zxx"/>
        </w:rPr>
        <w:t>Peněžní prostředky a ceniny -</w:t>
      </w:r>
      <w:r>
        <w:rPr>
          <w:rFonts w:cs="Arial"/>
          <w:lang w:bidi="zxx"/>
        </w:rPr>
        <w:t xml:space="preserve">  jmenovitou hodnotou</w:t>
      </w:r>
    </w:p>
    <w:p>
      <w:pPr>
        <w:pStyle w:val="Normal"/>
        <w:jc w:val="both"/>
        <w:rPr/>
      </w:pPr>
      <w:r>
        <w:rPr>
          <w:rFonts w:cs="Arial"/>
          <w:b/>
          <w:u w:val="none"/>
          <w:lang w:bidi="zxx"/>
        </w:rPr>
        <w:t>Pohledávky -</w:t>
      </w:r>
      <w:r>
        <w:rPr>
          <w:rFonts w:cs="Arial"/>
          <w:u w:val="none"/>
          <w:lang w:bidi="zxx"/>
        </w:rPr>
        <w:t xml:space="preserve"> jmenovitou hodnotou</w:t>
      </w:r>
    </w:p>
    <w:p>
      <w:pPr>
        <w:pStyle w:val="Normal"/>
        <w:jc w:val="both"/>
        <w:rPr/>
      </w:pPr>
      <w:r>
        <w:rPr>
          <w:rFonts w:cs="Arial"/>
          <w:b/>
          <w:u w:val="none"/>
          <w:lang w:bidi="zxx"/>
        </w:rPr>
        <w:t xml:space="preserve">Závazky - </w:t>
      </w:r>
      <w:r>
        <w:rPr>
          <w:rFonts w:cs="Arial"/>
          <w:b w:val="false"/>
          <w:bCs w:val="false"/>
          <w:u w:val="none"/>
          <w:lang w:bidi="zxx"/>
        </w:rPr>
        <w:t>jmenovitou hodnotou</w:t>
      </w:r>
    </w:p>
    <w:p>
      <w:pPr>
        <w:pStyle w:val="Normal"/>
        <w:jc w:val="both"/>
        <w:rPr>
          <w:rFonts w:ascii="Arial" w:hAnsi="Arial" w:cs="Arial"/>
        </w:rPr>
      </w:pPr>
      <w:r>
        <w:rPr>
          <w:rFonts w:cs="Arial"/>
        </w:rPr>
      </w:r>
    </w:p>
    <w:p>
      <w:pPr>
        <w:pStyle w:val="Normal"/>
        <w:jc w:val="both"/>
        <w:rPr>
          <w:rFonts w:ascii="Arial" w:hAnsi="Arial" w:cs="Arial"/>
        </w:rPr>
      </w:pPr>
      <w:r>
        <w:rPr>
          <w:rFonts w:cs="Arial"/>
        </w:rPr>
      </w:r>
    </w:p>
    <w:p>
      <w:pPr>
        <w:pStyle w:val="Heading2"/>
        <w:numPr>
          <w:ilvl w:val="1"/>
          <w:numId w:val="2"/>
        </w:numPr>
        <w:rPr/>
      </w:pPr>
      <w:bookmarkStart w:id="35" w:name="__RefHeading___Toc3977_220351804"/>
      <w:bookmarkEnd w:id="35"/>
      <w:r>
        <w:rPr/>
        <w:t>Pořízení dlouhodobého majetku</w:t>
      </w:r>
    </w:p>
    <w:p>
      <w:pPr>
        <w:pStyle w:val="Normal"/>
        <w:jc w:val="both"/>
        <w:rPr/>
      </w:pPr>
      <w:r>
        <w:rPr>
          <w:rFonts w:cs="Arial"/>
          <w:b/>
          <w:bCs/>
        </w:rPr>
        <w:t xml:space="preserve">Úplatně - </w:t>
      </w:r>
      <w:r>
        <w:rPr>
          <w:rFonts w:cs="Arial"/>
        </w:rPr>
        <w:t>V případě nákupu majetku použije účetní jednotka pro ocenění pořizovací cenu včetně všech vedlejších pořizovacích nákladů (doprava, balné, instalace, ..). Pro zařazení dlouhodobého majetku (vyjma drobného) bude použit syntetický účet 041 - Pořízení dlouhodobého nehmotného majetku nebo 042 - Pořízení dlouhodobého hmotného majetku, na příslušné syntetické účty dlouhodobého majetku bude majetek zaúčtován až v okamžiku zařazení majetku do užívání.</w:t>
      </w:r>
    </w:p>
    <w:p>
      <w:pPr>
        <w:pStyle w:val="Normal"/>
        <w:jc w:val="both"/>
        <w:rPr>
          <w:rFonts w:cs="Arial"/>
        </w:rPr>
      </w:pPr>
      <w:r>
        <w:rPr>
          <w:rFonts w:cs="Arial"/>
        </w:rPr>
      </w:r>
    </w:p>
    <w:p>
      <w:pPr>
        <w:pStyle w:val="Normal"/>
        <w:jc w:val="both"/>
        <w:rPr/>
      </w:pPr>
      <w:r>
        <w:rPr>
          <w:rFonts w:cs="Arial"/>
          <w:b/>
          <w:bCs/>
        </w:rPr>
        <w:t xml:space="preserve">Darem, bezúplatným převodem - </w:t>
      </w:r>
      <w:r>
        <w:rPr>
          <w:rFonts w:cs="Arial"/>
          <w:b w:val="false"/>
          <w:bCs w:val="false"/>
        </w:rPr>
        <w:t xml:space="preserve">V případě nabytí majetku darem použije účetní jednotka pro ocenění majetku odborný odhad stanovený znalcem nebo odpovědnou osobou. Dlouhodobý majetek nabytý darem bude zařazen rovnou na příslušný syntetický účet dlouhodobého majetku bez užití účtů pořízení 041 - Pořízení dlouhodobého nehmotného majetku nebo 042 - Pořízení dlouhodobého hmotného majetku. Protiúčtem při zařazení majetku bude syntetický účet 901 - Vlastní jmění. Částky odpisů budou následně účtovány dvěma souvztažnými zápisy: </w:t>
      </w:r>
    </w:p>
    <w:p>
      <w:pPr>
        <w:pStyle w:val="Normal"/>
        <w:jc w:val="both"/>
        <w:rPr/>
      </w:pPr>
      <w:r>
        <w:rPr>
          <w:rFonts w:cs="Arial"/>
          <w:b/>
          <w:bCs/>
        </w:rPr>
        <w:t xml:space="preserve">1. </w:t>
      </w:r>
      <w:r>
        <w:rPr>
          <w:rFonts w:cs="Arial"/>
          <w:b w:val="false"/>
          <w:bCs w:val="false"/>
        </w:rPr>
        <w:t>odepisování zápisem MD 551 - Odpisy/Dal 07x nebo 08x - Oprávky dlouhodobého hmotného nebo nehmotného majetku,</w:t>
      </w:r>
    </w:p>
    <w:p>
      <w:pPr>
        <w:pStyle w:val="Normal"/>
        <w:jc w:val="both"/>
        <w:rPr/>
      </w:pPr>
      <w:r>
        <w:rPr>
          <w:rFonts w:cs="Arial"/>
          <w:b/>
          <w:bCs/>
        </w:rPr>
        <w:t xml:space="preserve">2. </w:t>
      </w:r>
      <w:r>
        <w:rPr>
          <w:rFonts w:cs="Arial"/>
          <w:b w:val="false"/>
          <w:bCs w:val="false"/>
        </w:rPr>
        <w:t>rozpouštění zdrojů zápisem MD 901 - Vlastní jmění/Dal 649 – Jiné ostatní výnosy. Výše netto hodnoty dlouhodobého majetku nabytého darem musí odpovídat hodnotě evidované na syntetickém účtu 901 - Vlastní jmění.</w:t>
      </w:r>
    </w:p>
    <w:p>
      <w:pPr>
        <w:pStyle w:val="Normal"/>
        <w:jc w:val="both"/>
        <w:rPr>
          <w:rFonts w:cs="Arial"/>
          <w:b w:val="false"/>
          <w:b w:val="false"/>
          <w:bCs w:val="false"/>
        </w:rPr>
      </w:pPr>
      <w:r>
        <w:rPr>
          <w:rFonts w:cs="Arial"/>
          <w:b w:val="false"/>
          <w:bCs w:val="false"/>
        </w:rPr>
      </w:r>
    </w:p>
    <w:p>
      <w:pPr>
        <w:pStyle w:val="Normal"/>
        <w:jc w:val="both"/>
        <w:rPr/>
      </w:pPr>
      <w:r>
        <w:rPr>
          <w:rFonts w:eastAsia="Arial" w:cs="Arial"/>
          <w:b/>
          <w:bCs/>
          <w:szCs w:val="24"/>
        </w:rPr>
        <w:t xml:space="preserve">Majetek získaný z investiční dotace - </w:t>
      </w:r>
      <w:r>
        <w:rPr>
          <w:rFonts w:eastAsia="Arial" w:cs="Arial"/>
          <w:b w:val="false"/>
          <w:bCs w:val="false"/>
          <w:szCs w:val="24"/>
        </w:rPr>
        <w:t>Způsob účtování o majetku nabytém z prostředků investiční dotace je stejný jako v případě nabytí majetku darem viz výše s tím rozdílem, že pro pořízení dlouhodobého majetku bude použit syntetický účet 041 - Pořízení dlouhodobého nehmotného majetku nebo 042 - Pořízení dlouhodobého hmotného majetku, na příslušné syntetické účty dlouhodobého majetku bude majetek zaúčtován až v okamžiku zařazení majetku do užívání.</w:t>
      </w:r>
    </w:p>
    <w:p>
      <w:pPr>
        <w:pStyle w:val="Normal"/>
        <w:jc w:val="both"/>
        <w:rPr>
          <w:rFonts w:cs="Arial"/>
        </w:rPr>
      </w:pPr>
      <w:r>
        <w:rPr>
          <w:rFonts w:cs="Arial"/>
        </w:rPr>
      </w:r>
    </w:p>
    <w:p>
      <w:pPr>
        <w:pStyle w:val="Normal"/>
        <w:jc w:val="both"/>
        <w:rPr/>
      </w:pPr>
      <w:r>
        <w:rPr>
          <w:rFonts w:eastAsia="Arial" w:cs="Arial"/>
          <w:b/>
          <w:bCs/>
          <w:szCs w:val="24"/>
        </w:rPr>
        <w:t>Majetek získaný částečně z prostředků dotace nebo finančního daru -</w:t>
      </w:r>
      <w:r>
        <w:rPr>
          <w:rFonts w:eastAsia="Arial" w:cs="Arial"/>
          <w:b w:val="false"/>
          <w:bCs w:val="false"/>
          <w:szCs w:val="24"/>
        </w:rPr>
        <w:t xml:space="preserve"> V případě částečného nabytí dlouhodobého majetku z daru či dotace je postup obdobný jako v případě nabytí dlouhodobého majetku darem. Získaná účelová finanční dotace nebo účelový finanční dar bude zaúčtována ve prospěch syntetického účtu 901 - Vlastní jmění a na vrub účtu 221 – Bankovní účet nebo 211 – Pokladna podle toho, jak byly finanční prostředky přijaty. Pro pořízení dlouhodobého majetku bude použit syntetický účet 041 - Pořízení dlouhodobého nehmotného majetku nebo 042 - Pořízení dlouhodobého hmotného majetku, na příslušné syntetické účty dlouhodobého majetku bude majetek zaúčtován až v okamžiku zařazení majetku do užívání. Odepisování bude následující:</w:t>
      </w:r>
    </w:p>
    <w:p>
      <w:pPr>
        <w:pStyle w:val="Normal"/>
        <w:jc w:val="both"/>
        <w:rPr/>
      </w:pPr>
      <w:r>
        <w:rPr>
          <w:rFonts w:cs="Arial"/>
          <w:b/>
          <w:bCs/>
        </w:rPr>
        <w:t xml:space="preserve">1. </w:t>
      </w:r>
      <w:r>
        <w:rPr>
          <w:rFonts w:cs="Arial"/>
          <w:b w:val="false"/>
          <w:bCs w:val="false"/>
        </w:rPr>
        <w:t>Celá částka stanovené výše měsíčních odpisů zápisem MD 551 - Odpisy/Dal 07x nebo 08x - Oprávky dlouhodobého hmotného nebo nehmotného majetku</w:t>
      </w:r>
    </w:p>
    <w:p>
      <w:pPr>
        <w:pStyle w:val="Normal"/>
        <w:jc w:val="both"/>
        <w:rPr/>
      </w:pPr>
      <w:r>
        <w:rPr>
          <w:rFonts w:eastAsia="Arial" w:cs="Arial"/>
          <w:b/>
          <w:bCs/>
          <w:szCs w:val="24"/>
        </w:rPr>
        <w:t xml:space="preserve">2. </w:t>
      </w:r>
      <w:r>
        <w:rPr>
          <w:rFonts w:eastAsia="Arial" w:cs="Arial"/>
          <w:b w:val="false"/>
          <w:bCs w:val="false"/>
          <w:szCs w:val="24"/>
        </w:rPr>
        <w:t>Poměrná část odpisů odpovídající poměru majetku hrazeného z dotace či daru zápisem MD 901- Vlastní jmění/Dal 649 – Jiné ostatní výnosy. Výše netto hodnoty části dlouhodobého majetku nabytého darem či z dotace musí odpovídat hodnotě evidované na syntetickém účtu 901 - Vlastní jmění.</w:t>
      </w:r>
    </w:p>
    <w:p>
      <w:pPr>
        <w:pStyle w:val="Normal"/>
        <w:jc w:val="both"/>
        <w:rPr>
          <w:rFonts w:cs="Arial"/>
        </w:rPr>
      </w:pPr>
      <w:r>
        <w:rPr>
          <w:rFonts w:cs="Arial"/>
        </w:rPr>
      </w:r>
    </w:p>
    <w:p>
      <w:pPr>
        <w:pStyle w:val="Normal"/>
        <w:ind w:left="360" w:right="0" w:hanging="0"/>
        <w:jc w:val="both"/>
        <w:rPr>
          <w:rFonts w:ascii="Arial" w:hAnsi="Arial" w:cs="Arial"/>
        </w:rPr>
      </w:pPr>
      <w:r>
        <w:rPr>
          <w:rFonts w:cs="Arial"/>
        </w:rPr>
      </w:r>
    </w:p>
    <w:p>
      <w:pPr>
        <w:pStyle w:val="Heading2"/>
        <w:numPr>
          <w:ilvl w:val="1"/>
          <w:numId w:val="2"/>
        </w:numPr>
        <w:rPr/>
      </w:pPr>
      <w:bookmarkStart w:id="36" w:name="__RefHeading___Toc3979_220351804"/>
      <w:bookmarkEnd w:id="36"/>
      <w:r>
        <w:rPr/>
        <w:t>Odepisování</w:t>
      </w:r>
    </w:p>
    <w:p>
      <w:pPr>
        <w:pStyle w:val="Normal"/>
        <w:jc w:val="both"/>
        <w:rPr/>
      </w:pPr>
      <w:r>
        <w:rPr>
          <w:rFonts w:cs="Arial"/>
          <w:sz w:val="22"/>
          <w:szCs w:val="22"/>
          <w:lang w:bidi="zxx"/>
        </w:rPr>
        <w:t xml:space="preserve">Dlouhodobý hmotný a nehmotný majetek je odepisován rovnoměrně měsíčně až do výše vstupní ceny, resp. </w:t>
      </w:r>
      <w:r>
        <w:rPr>
          <w:rFonts w:cs="Arial"/>
          <w:b w:val="false"/>
          <w:bCs w:val="false"/>
          <w:sz w:val="22"/>
          <w:szCs w:val="22"/>
          <w:lang w:bidi="zxx"/>
        </w:rPr>
        <w:t>zvýšené vstupní ceny při technickém zhodnocení.</w:t>
      </w:r>
    </w:p>
    <w:p>
      <w:pPr>
        <w:pStyle w:val="Normal"/>
        <w:jc w:val="both"/>
        <w:rPr>
          <w:rFonts w:ascii="Arial" w:hAnsi="Arial" w:cs="Arial"/>
          <w:sz w:val="22"/>
          <w:szCs w:val="22"/>
        </w:rPr>
      </w:pPr>
      <w:r>
        <w:rPr>
          <w:rFonts w:cs="Arial"/>
          <w:sz w:val="22"/>
          <w:szCs w:val="22"/>
        </w:rPr>
      </w:r>
    </w:p>
    <w:p>
      <w:pPr>
        <w:pStyle w:val="Normal"/>
        <w:jc w:val="both"/>
        <w:rPr>
          <w:rFonts w:ascii="Arial" w:hAnsi="Arial" w:cs="Arial"/>
          <w:b w:val="false"/>
          <w:b w:val="false"/>
          <w:bCs w:val="false"/>
          <w:sz w:val="22"/>
          <w:szCs w:val="22"/>
          <w:lang w:bidi="zxx"/>
        </w:rPr>
      </w:pPr>
      <w:r>
        <w:rPr>
          <w:rFonts w:cs="Arial"/>
          <w:b w:val="false"/>
          <w:bCs w:val="false"/>
          <w:sz w:val="22"/>
          <w:szCs w:val="22"/>
          <w:lang w:bidi="zxx"/>
        </w:rPr>
        <w:t xml:space="preserve">Počátkem odepisování je měsíc následující po měsíci, v němž byl dlouhodobý majetek v rámci organizace převzat do užívání. Odpisy jsou účtovány měsíčně. </w:t>
      </w:r>
    </w:p>
    <w:p>
      <w:pPr>
        <w:pStyle w:val="Normal"/>
        <w:jc w:val="both"/>
        <w:rPr>
          <w:rFonts w:ascii="Arial" w:hAnsi="Arial" w:cs="Arial"/>
          <w:sz w:val="22"/>
          <w:szCs w:val="22"/>
        </w:rPr>
      </w:pPr>
      <w:r>
        <w:rPr>
          <w:rFonts w:cs="Arial"/>
          <w:sz w:val="22"/>
          <w:szCs w:val="22"/>
        </w:rPr>
      </w:r>
    </w:p>
    <w:p>
      <w:pPr>
        <w:pStyle w:val="Normal"/>
        <w:jc w:val="both"/>
        <w:rPr>
          <w:rFonts w:ascii="Arial" w:hAnsi="Arial" w:cs="Arial"/>
          <w:b w:val="false"/>
          <w:b w:val="false"/>
          <w:bCs w:val="false"/>
          <w:sz w:val="22"/>
          <w:szCs w:val="22"/>
          <w:lang w:bidi="zxx"/>
        </w:rPr>
      </w:pPr>
      <w:r>
        <w:rPr>
          <w:rFonts w:cs="Arial"/>
          <w:b w:val="false"/>
          <w:bCs w:val="false"/>
          <w:sz w:val="22"/>
          <w:szCs w:val="22"/>
          <w:lang w:bidi="zxx"/>
        </w:rPr>
        <w:t>Daňové odpisy v případě, že je lze uplatnit, se stanovují rovnoměrně jednou ročně.</w:t>
      </w:r>
    </w:p>
    <w:p>
      <w:pPr>
        <w:pStyle w:val="Normal"/>
        <w:jc w:val="both"/>
        <w:rPr>
          <w:rFonts w:ascii="Arial" w:hAnsi="Arial" w:cs="Arial"/>
          <w:sz w:val="22"/>
          <w:szCs w:val="22"/>
        </w:rPr>
      </w:pPr>
      <w:r>
        <w:rPr>
          <w:rFonts w:cs="Arial"/>
          <w:sz w:val="22"/>
          <w:szCs w:val="22"/>
        </w:rPr>
      </w:r>
    </w:p>
    <w:p>
      <w:pPr>
        <w:pStyle w:val="Normal"/>
        <w:jc w:val="both"/>
        <w:rPr>
          <w:rFonts w:ascii="Arial" w:hAnsi="Arial" w:cs="Arial"/>
          <w:b w:val="false"/>
          <w:b w:val="false"/>
          <w:bCs w:val="false"/>
          <w:sz w:val="22"/>
          <w:szCs w:val="22"/>
          <w:lang w:bidi="zxx"/>
        </w:rPr>
      </w:pPr>
      <w:r>
        <w:rPr>
          <w:rFonts w:cs="Arial"/>
          <w:b w:val="false"/>
          <w:bCs w:val="false"/>
          <w:sz w:val="22"/>
          <w:szCs w:val="22"/>
          <w:lang w:bidi="zxx"/>
        </w:rPr>
        <w:t xml:space="preserve">Za správné zařazení dlouhodobého majetku do odpisové skupiny, stanovení daňové odpisové sazby odpovídá hlavní účetní. </w:t>
      </w:r>
    </w:p>
    <w:p>
      <w:pPr>
        <w:pStyle w:val="Normal"/>
        <w:jc w:val="both"/>
        <w:rPr>
          <w:rFonts w:ascii="Arial" w:hAnsi="Arial" w:cs="Arial"/>
          <w:sz w:val="22"/>
          <w:szCs w:val="22"/>
        </w:rPr>
      </w:pPr>
      <w:r>
        <w:rPr>
          <w:rFonts w:cs="Arial"/>
          <w:sz w:val="22"/>
          <w:szCs w:val="22"/>
        </w:rPr>
      </w:r>
    </w:p>
    <w:p>
      <w:pPr>
        <w:pStyle w:val="Normal"/>
        <w:jc w:val="both"/>
        <w:rPr>
          <w:rFonts w:ascii="Arial" w:hAnsi="Arial" w:cs="Arial"/>
          <w:b w:val="false"/>
          <w:b w:val="false"/>
          <w:bCs w:val="false"/>
          <w:sz w:val="22"/>
          <w:szCs w:val="22"/>
          <w:lang w:bidi="zxx"/>
        </w:rPr>
      </w:pPr>
      <w:r>
        <w:rPr>
          <w:rFonts w:cs="Arial"/>
          <w:b w:val="false"/>
          <w:bCs w:val="false"/>
          <w:sz w:val="22"/>
          <w:szCs w:val="22"/>
          <w:lang w:bidi="zxx"/>
        </w:rPr>
        <w:t>Za stanovení účetní odpisové sazby dle předpokládané doby životnosti dlouhodobého majetku a za sestavení odpisového plánu odpovídá hlavní účetní po konzultaci s finančním manažerem.</w:t>
      </w:r>
    </w:p>
    <w:p>
      <w:pPr>
        <w:pStyle w:val="TextBody"/>
        <w:jc w:val="both"/>
        <w:rPr>
          <w:rFonts w:ascii="Arial" w:hAnsi="Arial" w:cs="Arial"/>
          <w:b w:val="false"/>
          <w:b w:val="false"/>
          <w:bCs w:val="false"/>
          <w:sz w:val="22"/>
          <w:szCs w:val="22"/>
          <w:lang w:bidi="zxx"/>
        </w:rPr>
      </w:pPr>
      <w:r>
        <w:rPr>
          <w:rFonts w:cs="Arial"/>
          <w:b w:val="false"/>
          <w:bCs w:val="false"/>
          <w:sz w:val="22"/>
          <w:szCs w:val="22"/>
          <w:lang w:bidi="zxx"/>
        </w:rPr>
      </w:r>
    </w:p>
    <w:p>
      <w:pPr>
        <w:pStyle w:val="Heading3"/>
        <w:numPr>
          <w:ilvl w:val="2"/>
          <w:numId w:val="2"/>
        </w:numPr>
        <w:rPr>
          <w:sz w:val="22"/>
          <w:szCs w:val="22"/>
        </w:rPr>
      </w:pPr>
      <w:bookmarkStart w:id="37" w:name="__RefHeading___Toc3981_220351804"/>
      <w:bookmarkEnd w:id="37"/>
      <w:r>
        <w:rPr>
          <w:sz w:val="22"/>
          <w:szCs w:val="22"/>
        </w:rPr>
        <w:t>Doba životnosti pro jednotlivé skupiny majetku</w:t>
      </w:r>
    </w:p>
    <w:p>
      <w:pPr>
        <w:pStyle w:val="TextBody"/>
        <w:jc w:val="both"/>
        <w:rPr>
          <w:rFonts w:ascii="Arial" w:hAnsi="Arial" w:cs="Arial"/>
          <w:sz w:val="22"/>
          <w:szCs w:val="22"/>
          <w:lang w:bidi="zxx"/>
        </w:rPr>
      </w:pPr>
      <w:r>
        <w:rPr>
          <w:rFonts w:cs="Arial"/>
          <w:sz w:val="22"/>
          <w:szCs w:val="22"/>
          <w:lang w:bidi="zxx"/>
        </w:rPr>
        <w:t>software – 3 roky</w:t>
      </w:r>
    </w:p>
    <w:p>
      <w:pPr>
        <w:pStyle w:val="TextBody"/>
        <w:jc w:val="both"/>
        <w:rPr>
          <w:rFonts w:ascii="Arial" w:hAnsi="Arial" w:cs="Arial"/>
          <w:sz w:val="22"/>
          <w:szCs w:val="22"/>
          <w:lang w:bidi="zxx"/>
        </w:rPr>
      </w:pPr>
      <w:r>
        <w:rPr>
          <w:rFonts w:cs="Arial"/>
          <w:sz w:val="22"/>
          <w:szCs w:val="22"/>
          <w:lang w:bidi="zxx"/>
        </w:rPr>
        <w:t>počítače – 4 roky</w:t>
      </w:r>
    </w:p>
    <w:p>
      <w:pPr>
        <w:pStyle w:val="TextBody"/>
        <w:jc w:val="both"/>
        <w:rPr>
          <w:rFonts w:ascii="Arial" w:hAnsi="Arial" w:cs="Arial"/>
          <w:sz w:val="22"/>
          <w:szCs w:val="22"/>
          <w:lang w:bidi="zxx"/>
        </w:rPr>
      </w:pPr>
      <w:r>
        <w:rPr>
          <w:rFonts w:cs="Arial"/>
          <w:sz w:val="22"/>
          <w:szCs w:val="22"/>
          <w:lang w:bidi="zxx"/>
        </w:rPr>
        <w:t>kancelářská technika – 4 roky</w:t>
      </w:r>
    </w:p>
    <w:p>
      <w:pPr>
        <w:pStyle w:val="TextBody"/>
        <w:jc w:val="both"/>
        <w:rPr>
          <w:rFonts w:ascii="Arial" w:hAnsi="Arial" w:cs="Arial"/>
          <w:b w:val="false"/>
          <w:b w:val="false"/>
          <w:bCs w:val="false"/>
          <w:sz w:val="22"/>
          <w:szCs w:val="22"/>
          <w:lang w:bidi="zxx"/>
        </w:rPr>
      </w:pPr>
      <w:r>
        <w:rPr>
          <w:rFonts w:cs="Arial"/>
          <w:b w:val="false"/>
          <w:bCs w:val="false"/>
          <w:sz w:val="22"/>
          <w:szCs w:val="22"/>
          <w:lang w:bidi="zxx"/>
        </w:rPr>
        <w:t>automobily – 5 let</w:t>
      </w:r>
    </w:p>
    <w:p>
      <w:pPr>
        <w:pStyle w:val="TextBody"/>
        <w:jc w:val="both"/>
        <w:rPr>
          <w:rFonts w:ascii="Arial" w:hAnsi="Arial" w:cs="Arial"/>
          <w:b w:val="false"/>
          <w:b w:val="false"/>
          <w:bCs w:val="false"/>
          <w:sz w:val="22"/>
          <w:szCs w:val="22"/>
          <w:lang w:bidi="zxx"/>
        </w:rPr>
      </w:pPr>
      <w:r>
        <w:rPr>
          <w:rFonts w:cs="Arial"/>
          <w:b w:val="false"/>
          <w:bCs w:val="false"/>
          <w:sz w:val="22"/>
          <w:szCs w:val="22"/>
          <w:lang w:bidi="zxx"/>
        </w:rPr>
        <w:t>ostatní hmotný majetek – 4 roky</w:t>
      </w:r>
    </w:p>
    <w:p>
      <w:pPr>
        <w:pStyle w:val="TextBody"/>
        <w:jc w:val="both"/>
        <w:rPr>
          <w:rFonts w:ascii="Arial" w:hAnsi="Arial" w:cs="Arial"/>
        </w:rPr>
      </w:pPr>
      <w:r>
        <w:rPr>
          <w:rFonts w:cs="Arial"/>
        </w:rPr>
      </w:r>
    </w:p>
    <w:p>
      <w:pPr>
        <w:pStyle w:val="Heading2"/>
        <w:numPr>
          <w:ilvl w:val="1"/>
          <w:numId w:val="2"/>
        </w:numPr>
        <w:rPr/>
      </w:pPr>
      <w:bookmarkStart w:id="38" w:name="__RefHeading___Toc3983_220351804"/>
      <w:bookmarkEnd w:id="38"/>
      <w:r>
        <w:rPr/>
        <w:t>Vyřazení majetku</w:t>
      </w:r>
    </w:p>
    <w:p>
      <w:pPr>
        <w:pStyle w:val="Normal"/>
        <w:jc w:val="both"/>
        <w:rPr>
          <w:rFonts w:ascii="Arial" w:hAnsi="Arial" w:cs="Arial"/>
          <w:b w:val="false"/>
          <w:b w:val="false"/>
          <w:bCs w:val="false"/>
          <w:sz w:val="22"/>
          <w:szCs w:val="22"/>
        </w:rPr>
      </w:pPr>
      <w:r>
        <w:rPr>
          <w:rFonts w:cs="Arial"/>
          <w:b w:val="false"/>
          <w:bCs w:val="false"/>
          <w:sz w:val="22"/>
          <w:szCs w:val="22"/>
        </w:rPr>
        <w:t>V případě likvidace nebo škody o vyřazení majetku z evidence rozhoduje ředitel organizace svým podpisem na vyřazovacím protokolu. Při vyřazení předmětů je nutno ověřit způsob zničení, důvod vyřazení a uvést způsob likvidace, případně prodej dlouhodobého majetku.</w:t>
      </w:r>
    </w:p>
    <w:p>
      <w:pPr>
        <w:pStyle w:val="Normal"/>
        <w:jc w:val="both"/>
        <w:rPr>
          <w:rFonts w:ascii="Arial" w:hAnsi="Arial" w:cs="Arial"/>
          <w:b w:val="false"/>
          <w:b w:val="false"/>
          <w:bCs w:val="false"/>
          <w:sz w:val="22"/>
          <w:szCs w:val="22"/>
        </w:rPr>
      </w:pPr>
      <w:r>
        <w:rPr>
          <w:rFonts w:cs="Arial"/>
          <w:b w:val="false"/>
          <w:bCs w:val="false"/>
          <w:sz w:val="22"/>
          <w:szCs w:val="22"/>
        </w:rPr>
      </w:r>
    </w:p>
    <w:p>
      <w:pPr>
        <w:pStyle w:val="Normal"/>
        <w:jc w:val="both"/>
        <w:rPr>
          <w:rFonts w:ascii="Arial" w:hAnsi="Arial" w:cs="Arial"/>
          <w:b w:val="false"/>
          <w:b w:val="false"/>
          <w:bCs w:val="false"/>
          <w:sz w:val="22"/>
          <w:szCs w:val="22"/>
          <w:lang w:bidi="zxx"/>
        </w:rPr>
      </w:pPr>
      <w:r>
        <w:rPr>
          <w:rFonts w:cs="Arial"/>
          <w:b w:val="false"/>
          <w:bCs w:val="false"/>
          <w:sz w:val="22"/>
          <w:szCs w:val="22"/>
          <w:lang w:bidi="zxx"/>
        </w:rPr>
        <w:t xml:space="preserve">Odepisování je ukončeno v měsíci vyřazení z účetní evidence. Účetní odpisy v měsíci vyřazení se účtují v plné měsíční výši bez přepočtu na dny. </w:t>
      </w:r>
      <w:r>
        <w:br w:type="page"/>
      </w:r>
    </w:p>
    <w:p>
      <w:pPr>
        <w:pStyle w:val="Heading1"/>
        <w:numPr>
          <w:ilvl w:val="0"/>
          <w:numId w:val="2"/>
        </w:numPr>
        <w:ind w:left="0" w:right="0" w:hanging="0"/>
        <w:rPr/>
      </w:pPr>
      <w:bookmarkStart w:id="39" w:name="__RefHeading___Toc6759_173049253"/>
      <w:bookmarkEnd w:id="39"/>
      <w:r>
        <w:rPr/>
        <w:t>Pokladní limit</w:t>
      </w:r>
    </w:p>
    <w:p>
      <w:pPr>
        <w:pStyle w:val="TextBody"/>
        <w:jc w:val="both"/>
        <w:rPr>
          <w:rFonts w:ascii="Arial" w:hAnsi="Arial" w:cs="Arial"/>
          <w:b w:val="false"/>
          <w:b w:val="false"/>
          <w:bCs w:val="false"/>
          <w:sz w:val="20"/>
          <w:szCs w:val="20"/>
        </w:rPr>
      </w:pPr>
      <w:r>
        <w:rPr>
          <w:rFonts w:cs="Arial"/>
          <w:b w:val="false"/>
          <w:bCs w:val="false"/>
          <w:sz w:val="20"/>
          <w:szCs w:val="20"/>
        </w:rPr>
      </w:r>
    </w:p>
    <w:p>
      <w:pPr>
        <w:pStyle w:val="TextBody"/>
        <w:jc w:val="both"/>
        <w:rPr>
          <w:rFonts w:ascii="Arial" w:hAnsi="Arial" w:eastAsia="Arial" w:cs="Arial"/>
          <w:b w:val="false"/>
          <w:b w:val="false"/>
          <w:bCs w:val="false"/>
          <w:sz w:val="22"/>
          <w:szCs w:val="22"/>
          <w:lang w:bidi="zxx"/>
        </w:rPr>
      </w:pPr>
      <w:r>
        <w:rPr>
          <w:rFonts w:eastAsia="Arial" w:cs="Arial"/>
          <w:b w:val="false"/>
          <w:bCs w:val="false"/>
          <w:sz w:val="22"/>
          <w:szCs w:val="22"/>
          <w:lang w:bidi="zxx"/>
        </w:rPr>
        <w:t>Pokladní limit v pokladně CZK organizace byl stanoven ve výši 20 000 Kč, v pokladně EUR potom na 1 000 EUR. Dohody o hmotné odpovědnosti jsou samostatným dokumentem a byly podepsány se zaměstnanci odpovědnými za správu pokladen - finanční manažer. Odpovědní zaměstnanci jsou kromě spravování pokladny zodpovědní i za dodržování pokladního limitu.</w:t>
      </w:r>
    </w:p>
    <w:p>
      <w:pPr>
        <w:pStyle w:val="TextBody"/>
        <w:jc w:val="both"/>
        <w:rPr>
          <w:rFonts w:ascii="Arial" w:hAnsi="Arial" w:cs="Arial"/>
          <w:b w:val="false"/>
          <w:b w:val="false"/>
          <w:bCs w:val="false"/>
          <w:sz w:val="22"/>
          <w:szCs w:val="22"/>
          <w:lang w:bidi="zxx"/>
        </w:rPr>
      </w:pPr>
      <w:r>
        <w:rPr>
          <w:rFonts w:cs="Arial"/>
          <w:b w:val="false"/>
          <w:bCs w:val="false"/>
          <w:sz w:val="22"/>
          <w:szCs w:val="22"/>
          <w:lang w:bidi="zxx"/>
        </w:rPr>
      </w:r>
    </w:p>
    <w:p>
      <w:pPr>
        <w:pStyle w:val="Normal"/>
        <w:jc w:val="both"/>
        <w:rPr>
          <w:rFonts w:ascii="Arial" w:hAnsi="Arial" w:cs="Arial"/>
          <w:b w:val="false"/>
          <w:b w:val="false"/>
          <w:bCs w:val="false"/>
          <w:sz w:val="22"/>
          <w:szCs w:val="22"/>
          <w:lang w:bidi="zxx"/>
        </w:rPr>
      </w:pPr>
      <w:r>
        <w:rPr>
          <w:rFonts w:cs="Arial"/>
          <w:b w:val="false"/>
          <w:bCs w:val="false"/>
          <w:sz w:val="22"/>
          <w:szCs w:val="22"/>
          <w:lang w:bidi="zxx"/>
        </w:rPr>
      </w:r>
    </w:p>
    <w:p>
      <w:pPr>
        <w:pStyle w:val="Heading1"/>
        <w:widowControl/>
        <w:numPr>
          <w:ilvl w:val="0"/>
          <w:numId w:val="0"/>
        </w:numPr>
        <w:suppressAutoHyphens w:val="true"/>
        <w:overflowPunct w:val="false"/>
        <w:ind w:left="0" w:right="0" w:hanging="0"/>
        <w:jc w:val="left"/>
        <w:rPr>
          <w:rFonts w:ascii="Arial" w:hAnsi="Arial" w:cs="Arial"/>
          <w:b w:val="false"/>
          <w:b w:val="false"/>
          <w:bCs w:val="false"/>
          <w:sz w:val="20"/>
          <w:szCs w:val="20"/>
          <w:lang w:bidi="zxx"/>
        </w:rPr>
      </w:pPr>
      <w:r>
        <w:rPr>
          <w:rFonts w:cs="Arial"/>
          <w:b w:val="false"/>
          <w:bCs w:val="false"/>
          <w:sz w:val="20"/>
          <w:szCs w:val="20"/>
          <w:lang w:bidi="zxx"/>
        </w:rPr>
      </w:r>
      <w:r>
        <w:br w:type="page"/>
      </w:r>
    </w:p>
    <w:p>
      <w:pPr>
        <w:pStyle w:val="Heading1"/>
        <w:numPr>
          <w:ilvl w:val="0"/>
          <w:numId w:val="2"/>
        </w:numPr>
        <w:ind w:left="0" w:right="0" w:hanging="0"/>
        <w:rPr/>
      </w:pPr>
      <w:bookmarkStart w:id="40" w:name="__RefHeading___Toc6751_173049253"/>
      <w:bookmarkEnd w:id="40"/>
      <w:r>
        <w:rPr/>
        <w:t>Časové rozlišení</w:t>
      </w:r>
    </w:p>
    <w:p>
      <w:pPr>
        <w:pStyle w:val="Normal"/>
        <w:jc w:val="both"/>
        <w:rPr>
          <w:rFonts w:ascii="Arial" w:hAnsi="Arial" w:cs="Arial"/>
        </w:rPr>
      </w:pPr>
      <w:r>
        <w:rPr>
          <w:rFonts w:cs="Arial"/>
        </w:rPr>
      </w:r>
    </w:p>
    <w:p>
      <w:pPr>
        <w:pStyle w:val="Heading2"/>
        <w:numPr>
          <w:ilvl w:val="1"/>
          <w:numId w:val="2"/>
        </w:numPr>
        <w:rPr/>
      </w:pPr>
      <w:bookmarkStart w:id="41" w:name="__RefHeading___Toc3985_220351804"/>
      <w:bookmarkEnd w:id="41"/>
      <w:r>
        <w:rPr/>
        <w:t>Úvodní ustanovení</w:t>
      </w:r>
    </w:p>
    <w:p>
      <w:pPr>
        <w:pStyle w:val="Normal"/>
        <w:jc w:val="both"/>
        <w:rPr>
          <w:rFonts w:ascii="Arial" w:hAnsi="Arial" w:cs="Arial"/>
        </w:rPr>
      </w:pPr>
      <w:r>
        <w:rPr>
          <w:rFonts w:cs="Arial"/>
        </w:rPr>
        <w:t>Účetním obdobím  je kalendářní rok.</w:t>
      </w:r>
    </w:p>
    <w:p>
      <w:pPr>
        <w:pStyle w:val="Normal"/>
        <w:jc w:val="both"/>
        <w:rPr>
          <w:rFonts w:ascii="Arial" w:hAnsi="Arial" w:cs="Arial"/>
        </w:rPr>
      </w:pPr>
      <w:r>
        <w:rPr>
          <w:rFonts w:cs="Arial"/>
        </w:rPr>
      </w:r>
    </w:p>
    <w:p>
      <w:pPr>
        <w:pStyle w:val="Normal"/>
        <w:jc w:val="both"/>
        <w:rPr>
          <w:rFonts w:ascii="Arial" w:hAnsi="Arial" w:eastAsia="Arial" w:cs="Arial"/>
          <w:b w:val="false"/>
          <w:b w:val="false"/>
          <w:bCs w:val="false"/>
          <w:szCs w:val="24"/>
        </w:rPr>
      </w:pPr>
      <w:r>
        <w:rPr>
          <w:rFonts w:eastAsia="Arial" w:cs="Arial"/>
          <w:b w:val="false"/>
          <w:bCs w:val="false"/>
          <w:szCs w:val="24"/>
        </w:rPr>
        <w:t xml:space="preserve">Náklady a výnosy se zásadně účtují do období, s nímž časově a věcně souvisí. </w:t>
      </w:r>
    </w:p>
    <w:p>
      <w:pPr>
        <w:pStyle w:val="Normal"/>
        <w:jc w:val="both"/>
        <w:rPr>
          <w:rFonts w:ascii="Arial" w:hAnsi="Arial" w:cs="Arial"/>
        </w:rPr>
      </w:pPr>
      <w:r>
        <w:rPr>
          <w:rFonts w:cs="Arial"/>
        </w:rPr>
      </w:r>
    </w:p>
    <w:p>
      <w:pPr>
        <w:pStyle w:val="Normal"/>
        <w:jc w:val="both"/>
        <w:rPr>
          <w:rFonts w:ascii="Arial" w:hAnsi="Arial" w:cs="Arial"/>
        </w:rPr>
      </w:pPr>
      <w:r>
        <w:rPr>
          <w:rFonts w:cs="Arial"/>
        </w:rPr>
        <w:t>Účetní jednotka touto směrnicí stanovuje zásady pro účtování nákladů a výnosů, jejich časového rozlišení a použití dohadných položek.</w:t>
      </w:r>
    </w:p>
    <w:p>
      <w:pPr>
        <w:pStyle w:val="Normal"/>
        <w:jc w:val="both"/>
        <w:rPr>
          <w:rFonts w:ascii="Arial" w:hAnsi="Arial" w:cs="Arial"/>
        </w:rPr>
      </w:pPr>
      <w:r>
        <w:rPr>
          <w:rFonts w:cs="Arial"/>
        </w:rPr>
      </w:r>
    </w:p>
    <w:p>
      <w:pPr>
        <w:pStyle w:val="Normal"/>
        <w:jc w:val="both"/>
        <w:rPr>
          <w:rFonts w:ascii="Arial" w:hAnsi="Arial" w:cs="Arial"/>
        </w:rPr>
      </w:pPr>
      <w:r>
        <w:rPr>
          <w:rFonts w:cs="Arial"/>
        </w:rPr>
        <w:t>Účty časového rozlišení a dohadné účty podléhají každoroční inventarizaci a to minimálně k rozvahovému dni nebo dni, ke kterému bude provedena mimořádná účetní závěrka.</w:t>
      </w:r>
    </w:p>
    <w:p>
      <w:pPr>
        <w:pStyle w:val="Normal"/>
        <w:jc w:val="both"/>
        <w:rPr>
          <w:rFonts w:ascii="Arial" w:hAnsi="Arial" w:cs="Arial"/>
        </w:rPr>
      </w:pPr>
      <w:r>
        <w:rPr>
          <w:rFonts w:cs="Arial"/>
        </w:rPr>
      </w:r>
    </w:p>
    <w:p>
      <w:pPr>
        <w:pStyle w:val="Normal"/>
        <w:jc w:val="both"/>
        <w:rPr>
          <w:rFonts w:ascii="Arial" w:hAnsi="Arial" w:cs="Arial"/>
        </w:rPr>
      </w:pPr>
      <w:r>
        <w:rPr>
          <w:rFonts w:cs="Arial"/>
        </w:rPr>
        <w:t>Analytické účty časového rozlišení jsou uváděny v účtovém rozvrhu.</w:t>
      </w:r>
    </w:p>
    <w:p>
      <w:pPr>
        <w:pStyle w:val="Normal"/>
        <w:jc w:val="both"/>
        <w:rPr>
          <w:rFonts w:ascii="Arial" w:hAnsi="Arial" w:cs="Arial"/>
          <w:lang w:bidi="zxx"/>
        </w:rPr>
      </w:pPr>
      <w:r>
        <w:rPr>
          <w:rFonts w:cs="Arial"/>
          <w:lang w:bidi="zxx"/>
        </w:rPr>
        <w:t xml:space="preserve">Organizace účtuje všechny náklady a výnosy zásadně do období, s nímž časově a věcně souvisí. </w:t>
      </w:r>
    </w:p>
    <w:p>
      <w:pPr>
        <w:pStyle w:val="Normal"/>
        <w:ind w:left="360" w:right="0" w:hanging="0"/>
        <w:jc w:val="both"/>
        <w:rPr>
          <w:rFonts w:ascii="Arial" w:hAnsi="Arial" w:cs="Arial"/>
        </w:rPr>
      </w:pPr>
      <w:r>
        <w:rPr>
          <w:rFonts w:cs="Arial"/>
        </w:rPr>
      </w:r>
    </w:p>
    <w:p>
      <w:pPr>
        <w:pStyle w:val="Normal"/>
        <w:ind w:left="360" w:right="0" w:hanging="0"/>
        <w:jc w:val="both"/>
        <w:rPr>
          <w:rFonts w:ascii="Arial" w:hAnsi="Arial" w:cs="Arial"/>
        </w:rPr>
      </w:pPr>
      <w:r>
        <w:rPr>
          <w:rFonts w:cs="Arial"/>
        </w:rPr>
      </w:r>
    </w:p>
    <w:p>
      <w:pPr>
        <w:pStyle w:val="Heading2"/>
        <w:numPr>
          <w:ilvl w:val="1"/>
          <w:numId w:val="2"/>
        </w:numPr>
        <w:rPr/>
      </w:pPr>
      <w:bookmarkStart w:id="42" w:name="__RefHeading___Toc3987_220351804"/>
      <w:bookmarkEnd w:id="42"/>
      <w:r>
        <w:rPr/>
        <w:t>Výjimky z časového rozlišení</w:t>
      </w:r>
    </w:p>
    <w:p>
      <w:pPr>
        <w:pStyle w:val="Normal"/>
        <w:jc w:val="both"/>
        <w:rPr>
          <w:rFonts w:ascii="Arial" w:hAnsi="Arial" w:cs="Arial"/>
        </w:rPr>
      </w:pPr>
      <w:r>
        <w:rPr>
          <w:rFonts w:cs="Arial"/>
        </w:rPr>
        <w:t>Organizace časově nerozlišuje nevýznamné částky a periodicky se opakující částky, které významně neovlivní výsledek hospodaření organizace a není tímto sledováno jeho záměrné zkreslení.</w:t>
      </w:r>
    </w:p>
    <w:p>
      <w:pPr>
        <w:pStyle w:val="Normal"/>
        <w:jc w:val="both"/>
        <w:rPr>
          <w:rFonts w:ascii="Arial" w:hAnsi="Arial" w:cs="Arial"/>
        </w:rPr>
      </w:pPr>
      <w:r>
        <w:rPr>
          <w:rFonts w:cs="Arial"/>
        </w:rPr>
      </w:r>
    </w:p>
    <w:p>
      <w:pPr>
        <w:pStyle w:val="Normal"/>
        <w:jc w:val="both"/>
        <w:rPr/>
      </w:pPr>
      <w:r>
        <w:rPr>
          <w:rFonts w:cs="Arial"/>
        </w:rPr>
        <w:t>Za pravidelně se opakující částky se považují zejména: předplatné tiskovin, vyúčtování za telekomunikační služby, domény a webhosting, pojistné atd., za nevýznamné jsou považovány částky do výše 2</w:t>
      </w:r>
      <w:r>
        <w:rPr>
          <w:rFonts w:cs="Arial"/>
          <w:b/>
          <w:u w:val="single"/>
        </w:rPr>
        <w:t> </w:t>
      </w:r>
      <w:r>
        <w:rPr>
          <w:rFonts w:cs="Arial"/>
        </w:rPr>
        <w:t>000 Kč.</w:t>
      </w:r>
    </w:p>
    <w:p>
      <w:pPr>
        <w:pStyle w:val="Normal"/>
        <w:ind w:left="360" w:right="0" w:hanging="0"/>
        <w:jc w:val="both"/>
        <w:rPr>
          <w:rFonts w:ascii="Arial" w:hAnsi="Arial" w:cs="Arial"/>
        </w:rPr>
      </w:pPr>
      <w:r>
        <w:rPr>
          <w:rFonts w:cs="Arial"/>
        </w:rPr>
      </w:r>
    </w:p>
    <w:p>
      <w:pPr>
        <w:pStyle w:val="Normal"/>
        <w:ind w:left="360" w:right="0" w:hanging="0"/>
        <w:jc w:val="both"/>
        <w:rPr>
          <w:rFonts w:ascii="Arial" w:hAnsi="Arial" w:cs="Arial"/>
        </w:rPr>
      </w:pPr>
      <w:r>
        <w:rPr>
          <w:rFonts w:cs="Arial"/>
        </w:rPr>
      </w:r>
    </w:p>
    <w:p>
      <w:pPr>
        <w:pStyle w:val="Heading2"/>
        <w:numPr>
          <w:ilvl w:val="1"/>
          <w:numId w:val="2"/>
        </w:numPr>
        <w:rPr/>
      </w:pPr>
      <w:bookmarkStart w:id="43" w:name="__RefHeading___Toc3989_220351804"/>
      <w:bookmarkEnd w:id="43"/>
      <w:r>
        <w:rPr/>
        <w:t>Základní pravidla pro časové rozlišení nákladů a výnosů</w:t>
      </w:r>
    </w:p>
    <w:p>
      <w:pPr>
        <w:pStyle w:val="Normal"/>
        <w:jc w:val="both"/>
        <w:rPr>
          <w:rFonts w:ascii="Arial" w:hAnsi="Arial" w:cs="Arial"/>
        </w:rPr>
      </w:pPr>
      <w:r>
        <w:rPr>
          <w:rFonts w:cs="Arial"/>
        </w:rPr>
        <w:t>Při použití účtů časového rozlišení musí být u účetního případu známa přesná částka, předmět a časová souvislost.</w:t>
      </w:r>
    </w:p>
    <w:p>
      <w:pPr>
        <w:pStyle w:val="Normal"/>
        <w:jc w:val="both"/>
        <w:rPr/>
      </w:pPr>
      <w:r>
        <w:rPr/>
      </w:r>
    </w:p>
    <w:p>
      <w:pPr>
        <w:pStyle w:val="Normal"/>
        <w:jc w:val="both"/>
        <w:rPr/>
      </w:pPr>
      <w:r>
        <w:rPr>
          <w:rFonts w:cs="Arial"/>
          <w:b/>
          <w:bCs/>
        </w:rPr>
        <w:t>Přechodná aktiva</w:t>
      </w:r>
      <w:r>
        <w:rPr>
          <w:rFonts w:cs="Arial"/>
        </w:rPr>
        <w:t xml:space="preserve"> vznikají jako důsledek spotřeby peněz či jiných aktiv, k níž dochází v běžném období, ale která s tímto obdobím nesouvisí, protože se týká jednoho či více následujících období. Takový úbytek aktiv se zaznamená jako </w:t>
      </w:r>
      <w:r>
        <w:rPr>
          <w:rFonts w:cs="Arial"/>
          <w:bCs/>
        </w:rPr>
        <w:t>náklad příštích období</w:t>
      </w:r>
      <w:r>
        <w:rPr>
          <w:rFonts w:cs="Arial"/>
        </w:rPr>
        <w:t>. Další přechodné aktivum vznikne jako důsledek prokazatelného nároku účetní jednotky na peněžní příjem, který se sice k rozvahovému dni neuskutečnil, ale s běžným období souvisí. Musí se proto uznat ve výkazu zisku a ztráty jako výnos běžného a současně v aktivech jako příjem příštích období.</w:t>
      </w:r>
    </w:p>
    <w:p>
      <w:pPr>
        <w:pStyle w:val="Normal"/>
        <w:jc w:val="both"/>
        <w:rPr/>
      </w:pPr>
      <w:r>
        <w:rPr/>
      </w:r>
    </w:p>
    <w:p>
      <w:pPr>
        <w:pStyle w:val="Normal"/>
        <w:jc w:val="both"/>
        <w:rPr/>
      </w:pPr>
      <w:r>
        <w:rPr>
          <w:rFonts w:cs="Arial"/>
          <w:b/>
          <w:bCs/>
        </w:rPr>
        <w:t>Přechodná pasiva</w:t>
      </w:r>
      <w:r>
        <w:rPr>
          <w:rFonts w:cs="Arial"/>
        </w:rPr>
        <w:t xml:space="preserve"> vznikají přijetím předem peněžního příjmu, který věcně a časově souvisí s příštím či několika následujícími obdobími,  takže nemohou být uznány jako  výnosy běžného období a protože došlo ke zvýšení aktiv v rozvaze je nutné vyjádřit jejich příslušnost k následujícím období i v pasivech. V takovém případě mluvíme o </w:t>
      </w:r>
      <w:r>
        <w:rPr>
          <w:rFonts w:cs="Arial"/>
          <w:bCs/>
        </w:rPr>
        <w:t>výnosu příštího období</w:t>
      </w:r>
      <w:r>
        <w:rPr>
          <w:rFonts w:cs="Arial"/>
        </w:rPr>
        <w:t>. Další přechodné pasivum výdaj příštího období je případ dluhu, kdy je přesně známa jeho výše, účel a období v němž dojde k jeho úhradě. Takovýto závazek věcně souvisí s běžným obdobím, v němž se uzná jako běžný náklad jeho adekvátní část (již spotřebovaná) a v rozvaze se uvede na straně pasiv. Jde o služby již spotřebované, ale dosud neuhrazené.</w:t>
      </w:r>
    </w:p>
    <w:p>
      <w:pPr>
        <w:pStyle w:val="Normal"/>
        <w:jc w:val="both"/>
        <w:rPr/>
      </w:pPr>
      <w:r>
        <w:rPr/>
      </w:r>
    </w:p>
    <w:p>
      <w:pPr>
        <w:pStyle w:val="Normal"/>
        <w:jc w:val="both"/>
        <w:rPr/>
      </w:pPr>
      <w:r>
        <w:rPr>
          <w:rFonts w:cs="Arial"/>
          <w:b/>
          <w:bCs/>
        </w:rPr>
        <w:t xml:space="preserve">Náklady příštích období – </w:t>
      </w:r>
      <w:r>
        <w:rPr>
          <w:rFonts w:cs="Arial"/>
        </w:rPr>
        <w:t>mezi nejčastější účetní zápisy patří nájemné placené předem, propagační předměty pro následující období, dálniční nálepky pro následující období, poplatky za školení v následujícím období, pojistné placené předem.</w:t>
      </w:r>
    </w:p>
    <w:p>
      <w:pPr>
        <w:pStyle w:val="Normal"/>
        <w:jc w:val="both"/>
        <w:rPr/>
      </w:pPr>
      <w:r>
        <w:rPr/>
      </w:r>
    </w:p>
    <w:p>
      <w:pPr>
        <w:pStyle w:val="Normal"/>
        <w:jc w:val="both"/>
        <w:rPr/>
      </w:pPr>
      <w:r>
        <w:rPr>
          <w:rFonts w:cs="Arial"/>
          <w:b/>
          <w:bCs/>
        </w:rPr>
        <w:t>Výdaje příštích období –</w:t>
      </w:r>
      <w:r>
        <w:rPr>
          <w:rFonts w:cs="Arial"/>
        </w:rPr>
        <w:t xml:space="preserve"> mezi nejčastější účetní zápisy patří nájemné placené pozadu, vyúčtování služebních cest v následujícím období.</w:t>
      </w:r>
    </w:p>
    <w:p>
      <w:pPr>
        <w:pStyle w:val="Normal"/>
        <w:jc w:val="both"/>
        <w:rPr/>
      </w:pPr>
      <w:r>
        <w:rPr/>
      </w:r>
    </w:p>
    <w:p>
      <w:pPr>
        <w:pStyle w:val="Normal"/>
        <w:jc w:val="both"/>
        <w:rPr/>
      </w:pPr>
      <w:r>
        <w:rPr>
          <w:rFonts w:cs="Arial"/>
          <w:b/>
          <w:bCs/>
        </w:rPr>
        <w:t xml:space="preserve">Výnosy příštích období – </w:t>
      </w:r>
      <w:r>
        <w:rPr>
          <w:rFonts w:cs="Arial"/>
        </w:rPr>
        <w:t>účtuje se zde mj. přijaté pojistné, pokud se účetní období liší od pojistného.</w:t>
      </w:r>
    </w:p>
    <w:p>
      <w:pPr>
        <w:pStyle w:val="Normal"/>
        <w:jc w:val="both"/>
        <w:rPr/>
      </w:pPr>
      <w:r>
        <w:rPr/>
      </w:r>
    </w:p>
    <w:p>
      <w:pPr>
        <w:pStyle w:val="Normal"/>
        <w:jc w:val="both"/>
        <w:rPr/>
      </w:pPr>
      <w:r>
        <w:rPr>
          <w:rFonts w:cs="Arial"/>
          <w:b/>
          <w:bCs/>
          <w:u w:val="none"/>
        </w:rPr>
        <w:t>Příjmy příštích období –</w:t>
      </w:r>
      <w:r>
        <w:rPr>
          <w:rFonts w:cs="Arial"/>
          <w:b/>
          <w:u w:val="none"/>
        </w:rPr>
        <w:t xml:space="preserve"> </w:t>
      </w:r>
      <w:r>
        <w:rPr>
          <w:rFonts w:cs="Arial"/>
          <w:b w:val="false"/>
          <w:bCs w:val="false"/>
          <w:u w:val="none"/>
        </w:rPr>
        <w:t>na tento účet jsou účtovány především úhrady za služby, které  věcně souvisí s běžným obdobím, ale hrazeny jsou v období následujícím, patří sem mimo jiné i nároky na doplatky dotací v případě, že došlo k vyúčtování, které však nebylo finálně potvrzeno.</w:t>
      </w:r>
    </w:p>
    <w:p>
      <w:pPr>
        <w:pStyle w:val="Normal"/>
        <w:ind w:left="0" w:right="0" w:hanging="0"/>
        <w:jc w:val="both"/>
        <w:rPr>
          <w:rFonts w:ascii="Arial" w:hAnsi="Arial" w:cs="Arial"/>
          <w:b/>
          <w:b/>
          <w:u w:val="single"/>
        </w:rPr>
      </w:pPr>
      <w:r>
        <w:rPr>
          <w:rFonts w:cs="Arial"/>
          <w:b/>
          <w:u w:val="single"/>
        </w:rPr>
      </w:r>
    </w:p>
    <w:p>
      <w:pPr>
        <w:pStyle w:val="Heading2"/>
        <w:numPr>
          <w:ilvl w:val="1"/>
          <w:numId w:val="2"/>
        </w:numPr>
        <w:rPr/>
      </w:pPr>
      <w:bookmarkStart w:id="44" w:name="__RefHeading___Toc3991_220351804"/>
      <w:bookmarkEnd w:id="44"/>
      <w:r>
        <w:rPr/>
        <w:t>Dohadné položky</w:t>
      </w:r>
    </w:p>
    <w:p>
      <w:pPr>
        <w:pStyle w:val="Normal"/>
        <w:jc w:val="both"/>
        <w:rPr>
          <w:rFonts w:ascii="Arial" w:hAnsi="Arial" w:cs="Arial"/>
        </w:rPr>
      </w:pPr>
      <w:r>
        <w:rPr>
          <w:rFonts w:cs="Arial"/>
        </w:rPr>
        <w:t>Dohadné položky jsou také používány koncem účetního období, je u nich známa věcnost, ale většinou není známo přesné časové určení a především částka. Při stanovení částky se většinou vychází ze smlouvy, obvyklé ceny, skutečné spotřeby či předešlé dodávky.</w:t>
      </w:r>
    </w:p>
    <w:p>
      <w:pPr>
        <w:pStyle w:val="Normal"/>
        <w:jc w:val="both"/>
        <w:rPr>
          <w:rFonts w:ascii="Arial" w:hAnsi="Arial" w:cs="Arial"/>
        </w:rPr>
      </w:pPr>
      <w:r>
        <w:rPr>
          <w:rFonts w:cs="Arial"/>
        </w:rPr>
      </w:r>
    </w:p>
    <w:p>
      <w:pPr>
        <w:pStyle w:val="Normal"/>
        <w:jc w:val="both"/>
        <w:rPr>
          <w:rFonts w:ascii="Arial" w:hAnsi="Arial" w:cs="Arial"/>
        </w:rPr>
      </w:pPr>
      <w:r>
        <w:rPr>
          <w:rFonts w:cs="Arial"/>
        </w:rPr>
        <w:t>Dohadné položky pasivní z titulu nájemného a souvisejících služeb budou tvořeny ve výši záloh pouze v případě, že ty přibližně odpovídají skutečné spotřebě. Na konci účetního období bude vyžádána od dodavatele přibližná kalkulace, na jejímž základě bude dohadná položka vytvořena, případně bude pro odhad použita spotřeba minulého období.</w:t>
      </w:r>
    </w:p>
    <w:p>
      <w:pPr>
        <w:pStyle w:val="Normal"/>
        <w:jc w:val="both"/>
        <w:rPr>
          <w:rFonts w:ascii="Arial" w:hAnsi="Arial" w:cs="Arial"/>
        </w:rPr>
      </w:pPr>
      <w:r>
        <w:rPr>
          <w:rFonts w:cs="Arial"/>
        </w:rPr>
      </w:r>
    </w:p>
    <w:p>
      <w:pPr>
        <w:pStyle w:val="Normal"/>
        <w:jc w:val="both"/>
        <w:rPr>
          <w:rFonts w:ascii="Arial" w:hAnsi="Arial" w:cs="Arial"/>
        </w:rPr>
      </w:pPr>
      <w:r>
        <w:rPr>
          <w:rFonts w:cs="Arial"/>
        </w:rPr>
        <w:t>Dohadné položky aktivní využívá organizace pro zaúčtování nároku na dotaci či účelový dar vztahující se k nákladům uplynulého období.</w:t>
      </w:r>
    </w:p>
    <w:p>
      <w:pPr>
        <w:pStyle w:val="Normal"/>
        <w:jc w:val="both"/>
        <w:rPr>
          <w:rFonts w:ascii="Arial" w:hAnsi="Arial" w:cs="Arial"/>
        </w:rPr>
      </w:pPr>
      <w:r>
        <w:rPr>
          <w:rFonts w:cs="Arial"/>
        </w:rPr>
      </w:r>
    </w:p>
    <w:p>
      <w:pPr>
        <w:pStyle w:val="Normal"/>
        <w:jc w:val="both"/>
        <w:rPr>
          <w:rFonts w:ascii="Arial" w:hAnsi="Arial" w:cs="Arial"/>
        </w:rPr>
      </w:pPr>
      <w:r>
        <w:rPr>
          <w:rFonts w:cs="Arial"/>
        </w:rPr>
      </w:r>
    </w:p>
    <w:p>
      <w:pPr>
        <w:pStyle w:val="Heading1"/>
        <w:widowControl/>
        <w:numPr>
          <w:ilvl w:val="0"/>
          <w:numId w:val="0"/>
        </w:numPr>
        <w:suppressAutoHyphens w:val="true"/>
        <w:overflowPunct w:val="false"/>
        <w:ind w:left="0" w:right="0" w:hanging="0"/>
        <w:jc w:val="left"/>
        <w:rPr>
          <w:rFonts w:ascii="Arial" w:hAnsi="Arial" w:cs="Arial"/>
        </w:rPr>
      </w:pPr>
      <w:r>
        <w:rPr>
          <w:rFonts w:cs="Arial"/>
        </w:rPr>
      </w:r>
      <w:r>
        <w:br w:type="page"/>
      </w:r>
    </w:p>
    <w:p>
      <w:pPr>
        <w:pStyle w:val="Heading1"/>
        <w:numPr>
          <w:ilvl w:val="0"/>
          <w:numId w:val="2"/>
        </w:numPr>
        <w:ind w:left="0" w:right="0" w:hanging="0"/>
        <w:rPr/>
      </w:pPr>
      <w:bookmarkStart w:id="45" w:name="__RefHeading___Toc6761_173049253"/>
      <w:bookmarkEnd w:id="45"/>
      <w:r>
        <w:rPr/>
        <w:t>Opravné položky, odpis pohledávek, rezervy</w:t>
      </w:r>
    </w:p>
    <w:p>
      <w:pPr>
        <w:pStyle w:val="TextBody"/>
        <w:jc w:val="both"/>
        <w:rPr>
          <w:rFonts w:ascii="Arial" w:hAnsi="Arial" w:cs="Arial"/>
          <w:b/>
          <w:b/>
          <w:sz w:val="20"/>
          <w:szCs w:val="20"/>
          <w:lang w:bidi="zxx"/>
        </w:rPr>
      </w:pPr>
      <w:r>
        <w:rPr>
          <w:rFonts w:cs="Arial"/>
          <w:b/>
          <w:sz w:val="20"/>
          <w:szCs w:val="20"/>
          <w:lang w:bidi="zxx"/>
        </w:rPr>
      </w:r>
    </w:p>
    <w:p>
      <w:pPr>
        <w:pStyle w:val="Heading2"/>
        <w:numPr>
          <w:ilvl w:val="1"/>
          <w:numId w:val="2"/>
        </w:numPr>
        <w:rPr/>
      </w:pPr>
      <w:bookmarkStart w:id="46" w:name="__RefHeading___Toc3993_220351804"/>
      <w:bookmarkEnd w:id="46"/>
      <w:r>
        <w:rPr/>
        <w:t>Opravné položky a odpis pohledávek</w:t>
      </w:r>
    </w:p>
    <w:p>
      <w:pPr>
        <w:pStyle w:val="Normal"/>
        <w:jc w:val="both"/>
        <w:rPr/>
      </w:pPr>
      <w:r>
        <w:rPr>
          <w:rFonts w:cs="Arial"/>
          <w:lang w:bidi="zxx"/>
        </w:rPr>
        <w:t>Pro daňově účinné opravné položky organizace vychází z příslušných ustanovení zákona č. 593/</w:t>
      </w:r>
      <w:r>
        <w:rPr>
          <w:rFonts w:cs="Arial"/>
          <w:sz w:val="22"/>
          <w:szCs w:val="22"/>
          <w:lang w:bidi="zxx"/>
        </w:rPr>
        <w:t xml:space="preserve">1992 Sb., o rezervách v platném znění a zákona č. 586/1992 Sb o daních z příjmů. </w:t>
      </w:r>
    </w:p>
    <w:p>
      <w:pPr>
        <w:pStyle w:val="Normal"/>
        <w:jc w:val="both"/>
        <w:rPr>
          <w:rFonts w:ascii="Arial" w:hAnsi="Arial" w:cs="Arial"/>
          <w:sz w:val="22"/>
          <w:szCs w:val="22"/>
          <w:lang w:bidi="zxx"/>
        </w:rPr>
      </w:pPr>
      <w:r>
        <w:rPr>
          <w:rFonts w:cs="Arial"/>
          <w:sz w:val="22"/>
          <w:szCs w:val="22"/>
          <w:lang w:bidi="zxx"/>
        </w:rPr>
      </w:r>
    </w:p>
    <w:p>
      <w:pPr>
        <w:pStyle w:val="Normal"/>
        <w:jc w:val="both"/>
        <w:rPr/>
      </w:pPr>
      <w:r>
        <w:rPr>
          <w:rFonts w:cs="Arial"/>
          <w:sz w:val="22"/>
          <w:szCs w:val="22"/>
          <w:lang w:bidi="zxx"/>
        </w:rPr>
        <w:t>V souladu s platnými předpi</w:t>
      </w:r>
      <w:r>
        <w:rPr>
          <w:rFonts w:cs="Arial"/>
          <w:b w:val="false"/>
          <w:bCs w:val="false"/>
          <w:sz w:val="22"/>
          <w:szCs w:val="22"/>
          <w:lang w:bidi="zxx"/>
        </w:rPr>
        <w:t>sy pro neziskové organizace nejsou účetní opravné položky tvořeny.</w:t>
      </w:r>
    </w:p>
    <w:p>
      <w:pPr>
        <w:pStyle w:val="Normal"/>
        <w:jc w:val="both"/>
        <w:rPr>
          <w:rFonts w:ascii="Arial" w:hAnsi="Arial" w:cs="Arial"/>
          <w:b w:val="false"/>
          <w:b w:val="false"/>
          <w:bCs w:val="false"/>
          <w:sz w:val="22"/>
          <w:szCs w:val="22"/>
          <w:u w:val="none"/>
          <w:lang w:bidi="zxx"/>
        </w:rPr>
      </w:pPr>
      <w:r>
        <w:rPr>
          <w:rFonts w:cs="Arial"/>
          <w:b w:val="false"/>
          <w:bCs w:val="false"/>
          <w:sz w:val="22"/>
          <w:szCs w:val="22"/>
          <w:u w:val="none"/>
          <w:lang w:bidi="zxx"/>
        </w:rPr>
      </w:r>
    </w:p>
    <w:p>
      <w:pPr>
        <w:pStyle w:val="Normal"/>
        <w:jc w:val="both"/>
        <w:rPr>
          <w:rFonts w:ascii="Arial" w:hAnsi="Arial" w:cs="Arial"/>
          <w:b w:val="false"/>
          <w:b w:val="false"/>
          <w:bCs w:val="false"/>
          <w:sz w:val="22"/>
          <w:szCs w:val="22"/>
          <w:u w:val="none"/>
          <w:lang w:bidi="zxx"/>
        </w:rPr>
      </w:pPr>
      <w:r>
        <w:rPr>
          <w:rFonts w:cs="Arial"/>
          <w:b w:val="false"/>
          <w:bCs w:val="false"/>
          <w:sz w:val="22"/>
          <w:szCs w:val="22"/>
          <w:u w:val="none"/>
          <w:lang w:bidi="zxx"/>
        </w:rPr>
        <w:t>Odepsané pohledávky se dále sledují v operativní evidenci.</w:t>
      </w:r>
    </w:p>
    <w:p>
      <w:pPr>
        <w:pStyle w:val="Normal"/>
        <w:jc w:val="both"/>
        <w:rPr>
          <w:rFonts w:ascii="Arial" w:hAnsi="Arial" w:cs="Arial"/>
          <w:b w:val="false"/>
          <w:b w:val="false"/>
          <w:bCs w:val="false"/>
          <w:sz w:val="22"/>
          <w:szCs w:val="22"/>
          <w:lang w:bidi="zxx"/>
        </w:rPr>
      </w:pPr>
      <w:r>
        <w:rPr>
          <w:rFonts w:cs="Arial"/>
          <w:b w:val="false"/>
          <w:bCs w:val="false"/>
          <w:sz w:val="22"/>
          <w:szCs w:val="22"/>
          <w:lang w:bidi="zxx"/>
        </w:rPr>
      </w:r>
    </w:p>
    <w:p>
      <w:pPr>
        <w:pStyle w:val="Heading2"/>
        <w:numPr>
          <w:ilvl w:val="1"/>
          <w:numId w:val="2"/>
        </w:numPr>
        <w:rPr/>
      </w:pPr>
      <w:bookmarkStart w:id="47" w:name="__RefHeading___Toc3995_220351804"/>
      <w:bookmarkEnd w:id="47"/>
      <w:r>
        <w:rPr/>
        <w:t>Zásady pro tvorbu a používání rezerv</w:t>
      </w:r>
    </w:p>
    <w:p>
      <w:pPr>
        <w:pStyle w:val="Normal"/>
        <w:jc w:val="both"/>
        <w:rPr>
          <w:rFonts w:ascii="Arial" w:hAnsi="Arial" w:cs="Arial"/>
          <w:b w:val="false"/>
          <w:b w:val="false"/>
          <w:bCs w:val="false"/>
          <w:sz w:val="22"/>
          <w:szCs w:val="22"/>
          <w:lang w:bidi="zxx"/>
        </w:rPr>
      </w:pPr>
      <w:r>
        <w:rPr>
          <w:rFonts w:cs="Arial"/>
          <w:b w:val="false"/>
          <w:bCs w:val="false"/>
          <w:sz w:val="22"/>
          <w:szCs w:val="22"/>
          <w:lang w:bidi="zxx"/>
        </w:rPr>
        <w:t>V souladu s platnými předpisy tvoří organizace pouze zákonné rezervy, tj. rezervy vycházející z příslušných ustanovení zákona č. 593/1992 Sb., o rezervách v platném znění. Tvorbu takové rezervy schvaluje ředitel organizace.</w:t>
      </w:r>
    </w:p>
    <w:p>
      <w:pPr>
        <w:pStyle w:val="Normal"/>
        <w:jc w:val="both"/>
        <w:rPr>
          <w:rFonts w:ascii="Arial" w:hAnsi="Arial" w:cs="Arial"/>
          <w:b/>
          <w:b/>
          <w:bCs/>
          <w:sz w:val="22"/>
          <w:szCs w:val="22"/>
        </w:rPr>
      </w:pPr>
      <w:r>
        <w:rPr>
          <w:rFonts w:cs="Arial"/>
          <w:b/>
          <w:bCs/>
          <w:sz w:val="22"/>
          <w:szCs w:val="22"/>
        </w:rPr>
      </w:r>
    </w:p>
    <w:p>
      <w:pPr>
        <w:pStyle w:val="Normal"/>
        <w:jc w:val="both"/>
        <w:rPr>
          <w:rFonts w:ascii="Arial" w:hAnsi="Arial" w:cs="Arial"/>
          <w:b/>
          <w:b/>
          <w:bCs/>
          <w:sz w:val="22"/>
          <w:szCs w:val="22"/>
        </w:rPr>
      </w:pPr>
      <w:r>
        <w:rPr>
          <w:rFonts w:cs="Arial"/>
          <w:b/>
          <w:bCs/>
          <w:sz w:val="22"/>
          <w:szCs w:val="22"/>
        </w:rPr>
      </w:r>
    </w:p>
    <w:p>
      <w:pPr>
        <w:pStyle w:val="Normal"/>
        <w:jc w:val="both"/>
        <w:rPr>
          <w:rFonts w:ascii="Arial" w:hAnsi="Arial" w:cs="Arial"/>
          <w:b/>
          <w:b/>
          <w:bCs/>
          <w:sz w:val="20"/>
          <w:szCs w:val="20"/>
        </w:rPr>
      </w:pPr>
      <w:r>
        <w:rPr>
          <w:rFonts w:cs="Arial"/>
          <w:b/>
          <w:bCs/>
          <w:sz w:val="20"/>
          <w:szCs w:val="20"/>
        </w:rPr>
      </w:r>
    </w:p>
    <w:p>
      <w:pPr>
        <w:pStyle w:val="Heading1"/>
        <w:widowControl/>
        <w:numPr>
          <w:ilvl w:val="0"/>
          <w:numId w:val="0"/>
        </w:numPr>
        <w:suppressAutoHyphens w:val="true"/>
        <w:overflowPunct w:val="false"/>
        <w:ind w:left="0" w:right="0" w:hanging="0"/>
        <w:jc w:val="left"/>
        <w:rPr>
          <w:rFonts w:ascii="Arial" w:hAnsi="Arial" w:cs="Arial"/>
          <w:b/>
          <w:b/>
          <w:bCs/>
          <w:sz w:val="20"/>
          <w:szCs w:val="20"/>
        </w:rPr>
      </w:pPr>
      <w:r>
        <w:rPr>
          <w:rFonts w:cs="Arial"/>
          <w:b/>
          <w:bCs/>
          <w:sz w:val="20"/>
          <w:szCs w:val="20"/>
        </w:rPr>
      </w:r>
      <w:r>
        <w:br w:type="page"/>
      </w:r>
    </w:p>
    <w:p>
      <w:pPr>
        <w:pStyle w:val="Heading1"/>
        <w:numPr>
          <w:ilvl w:val="0"/>
          <w:numId w:val="2"/>
        </w:numPr>
        <w:ind w:left="0" w:right="0" w:hanging="0"/>
        <w:rPr/>
      </w:pPr>
      <w:bookmarkStart w:id="48" w:name="__RefHeading___Toc6753_173049253"/>
      <w:bookmarkEnd w:id="48"/>
      <w:r>
        <w:rPr/>
        <w:t>Dary, dotace, fondové hospodaření</w:t>
      </w:r>
    </w:p>
    <w:p>
      <w:pPr>
        <w:pStyle w:val="Normal"/>
        <w:jc w:val="both"/>
        <w:rPr>
          <w:rFonts w:ascii="Arial" w:hAnsi="Arial" w:cs="Arial"/>
        </w:rPr>
      </w:pPr>
      <w:r>
        <w:rPr>
          <w:rFonts w:cs="Arial"/>
        </w:rPr>
      </w:r>
    </w:p>
    <w:p>
      <w:pPr>
        <w:pStyle w:val="Normal"/>
        <w:jc w:val="both"/>
        <w:rPr>
          <w:rFonts w:ascii="Arial" w:hAnsi="Arial" w:cs="Arial"/>
        </w:rPr>
      </w:pPr>
      <w:r>
        <w:rPr>
          <w:rFonts w:cs="Arial"/>
        </w:rPr>
        <w:t>Tato část směrnice upravuje způsob účtování přijatých finančních darů a darované služby, účtování věcných darů a finančních darů či dotací na pořízení dlouhodobého majetku zahrnuje bod IV. Dlouhodobý a drobný majetek, oceňování, odpisový plán této směrnice.</w:t>
      </w:r>
    </w:p>
    <w:p>
      <w:pPr>
        <w:pStyle w:val="Normal"/>
        <w:jc w:val="both"/>
        <w:rPr/>
      </w:pPr>
      <w:r>
        <w:rPr/>
      </w:r>
    </w:p>
    <w:p>
      <w:pPr>
        <w:pStyle w:val="Heading2"/>
        <w:numPr>
          <w:ilvl w:val="1"/>
          <w:numId w:val="2"/>
        </w:numPr>
        <w:rPr/>
      </w:pPr>
      <w:bookmarkStart w:id="49" w:name="__RefHeading___Toc3997_220351804"/>
      <w:bookmarkEnd w:id="49"/>
      <w:r>
        <w:rPr/>
        <w:t>Dary, tvorba a zúčtování fondů</w:t>
      </w:r>
    </w:p>
    <w:p>
      <w:pPr>
        <w:pStyle w:val="Normal"/>
        <w:jc w:val="both"/>
        <w:rPr>
          <w:rFonts w:ascii="Arial" w:hAnsi="Arial" w:cs="Arial"/>
        </w:rPr>
      </w:pPr>
      <w:r>
        <w:rPr>
          <w:rFonts w:cs="Arial"/>
        </w:rPr>
        <w:t>Finanční dary se účtují v okamžiku přijetí tohoto daru, neúčtuje se o předpisu – pohledávce z titulu příslibu daru, ani v případě darovací smlouvy.</w:t>
      </w:r>
    </w:p>
    <w:p>
      <w:pPr>
        <w:pStyle w:val="Normal"/>
        <w:jc w:val="both"/>
        <w:rPr>
          <w:rFonts w:ascii="Arial" w:hAnsi="Arial" w:cs="Arial"/>
        </w:rPr>
      </w:pPr>
      <w:r>
        <w:rPr>
          <w:rFonts w:cs="Arial"/>
        </w:rPr>
      </w:r>
    </w:p>
    <w:p>
      <w:pPr>
        <w:pStyle w:val="Normal"/>
        <w:jc w:val="both"/>
        <w:rPr>
          <w:rFonts w:ascii="Arial" w:hAnsi="Arial" w:cs="Arial"/>
          <w:u w:val="none"/>
        </w:rPr>
      </w:pPr>
      <w:r>
        <w:rPr>
          <w:rFonts w:cs="Arial"/>
          <w:u w:val="none"/>
        </w:rPr>
        <w:t>Přijaté účelové i neúčelové dary se účtují v okamžiku jejich přijetí na syntetické účty:</w:t>
      </w:r>
    </w:p>
    <w:p>
      <w:pPr>
        <w:pStyle w:val="Normal"/>
        <w:numPr>
          <w:ilvl w:val="0"/>
          <w:numId w:val="9"/>
        </w:numPr>
        <w:jc w:val="both"/>
        <w:rPr>
          <w:rFonts w:ascii="Arial" w:hAnsi="Arial" w:cs="Arial"/>
        </w:rPr>
      </w:pPr>
      <w:r>
        <w:rPr>
          <w:rFonts w:cs="Arial"/>
        </w:rPr>
        <w:t>MD 221 - Banka, příp. 211 - Pokladna/Dal 911 - Fondy (analytické účty jsou uvedeny v účetní osnově a jsou odděleny dle jednotlivých dárců, případně projektů).</w:t>
      </w:r>
    </w:p>
    <w:p>
      <w:pPr>
        <w:pStyle w:val="Normal"/>
        <w:jc w:val="both"/>
        <w:rPr>
          <w:rFonts w:ascii="Arial" w:hAnsi="Arial" w:cs="Arial"/>
        </w:rPr>
      </w:pPr>
      <w:r>
        <w:rPr>
          <w:rFonts w:cs="Arial"/>
        </w:rPr>
      </w:r>
    </w:p>
    <w:p>
      <w:pPr>
        <w:pStyle w:val="Normal"/>
        <w:jc w:val="both"/>
        <w:rPr>
          <w:rFonts w:ascii="Arial" w:hAnsi="Arial" w:eastAsia="Arial" w:cs="Arial"/>
          <w:b w:val="false"/>
          <w:b w:val="false"/>
          <w:bCs w:val="false"/>
          <w:szCs w:val="24"/>
        </w:rPr>
      </w:pPr>
      <w:r>
        <w:rPr>
          <w:rFonts w:eastAsia="Arial" w:cs="Arial"/>
          <w:b w:val="false"/>
          <w:bCs w:val="false"/>
          <w:szCs w:val="24"/>
        </w:rPr>
        <w:t>Přijaté provozní dary do částky 5.000 Kč se účtují přímo do výnosů na účet 682 - Přijaté příspěvky.</w:t>
      </w:r>
    </w:p>
    <w:p>
      <w:pPr>
        <w:pStyle w:val="Normal"/>
        <w:jc w:val="both"/>
        <w:rPr>
          <w:rFonts w:ascii="Arial" w:hAnsi="Arial" w:cs="Arial"/>
        </w:rPr>
      </w:pPr>
      <w:r>
        <w:rPr>
          <w:rFonts w:cs="Arial"/>
        </w:rPr>
      </w:r>
    </w:p>
    <w:p>
      <w:pPr>
        <w:pStyle w:val="Normal"/>
        <w:jc w:val="both"/>
        <w:rPr>
          <w:rFonts w:ascii="Arial" w:hAnsi="Arial" w:cs="Arial"/>
        </w:rPr>
      </w:pPr>
      <w:r>
        <w:rPr>
          <w:rFonts w:cs="Arial"/>
        </w:rPr>
        <w:t>O použití darů z fondu na provozní účely organizace účtuje následovně:</w:t>
      </w:r>
    </w:p>
    <w:p>
      <w:pPr>
        <w:pStyle w:val="Normal"/>
        <w:jc w:val="both"/>
        <w:rPr>
          <w:rFonts w:ascii="Arial" w:hAnsi="Arial" w:eastAsia="Arial" w:cs="Arial"/>
          <w:b w:val="false"/>
          <w:b w:val="false"/>
          <w:bCs w:val="false"/>
          <w:szCs w:val="24"/>
        </w:rPr>
      </w:pPr>
      <w:r>
        <w:rPr>
          <w:rFonts w:eastAsia="Arial" w:cs="Arial"/>
          <w:b w:val="false"/>
          <w:bCs w:val="false"/>
          <w:szCs w:val="24"/>
        </w:rPr>
        <w:t>MD 911 - Fondy/Dal 682 - Přijaté příspěvky. Zvolený syntetický účet je zde použit namísto syntetického účtu 648 - Zúčtování fondů z důvodu sjednocení postupů účtování přijatých příspěvků a dosažení věrného obrazu účetní závěrky. Tento postup a důvod pro jeho použití bude každoročně zmíněn v příloze v účetní závěrce.  V případě využití daru k poskytnutí příspěvku, resp. k regrantování, nevzniká náklad ani výnos patřící organizaci a výdej peněžních prostředků, resp. čerpání fondů je tak účtováno pouze zápisem:</w:t>
      </w:r>
    </w:p>
    <w:p>
      <w:pPr>
        <w:pStyle w:val="Normal"/>
        <w:numPr>
          <w:ilvl w:val="0"/>
          <w:numId w:val="8"/>
        </w:numPr>
        <w:jc w:val="both"/>
        <w:rPr>
          <w:rFonts w:ascii="Arial" w:hAnsi="Arial" w:cs="Arial"/>
        </w:rPr>
      </w:pPr>
      <w:r>
        <w:rPr>
          <w:rFonts w:cs="Arial"/>
        </w:rPr>
        <w:t>MD 911 - Fondy/Dal 221 - Banka, resp. 211 - Pokladna.</w:t>
      </w:r>
    </w:p>
    <w:p>
      <w:pPr>
        <w:pStyle w:val="Normal"/>
        <w:jc w:val="both"/>
        <w:rPr/>
      </w:pPr>
      <w:r>
        <w:rPr/>
      </w:r>
    </w:p>
    <w:p>
      <w:pPr>
        <w:pStyle w:val="Normal"/>
        <w:jc w:val="both"/>
        <w:rPr>
          <w:rFonts w:ascii="Arial" w:hAnsi="Arial" w:cs="Arial"/>
        </w:rPr>
      </w:pPr>
      <w:r>
        <w:rPr>
          <w:rFonts w:cs="Arial"/>
        </w:rPr>
        <w:t xml:space="preserve">K zaúčtování použití darů z fondu je prováděno měsíčně, což umožňuje vždy k poslednímu dni měsíce kontrolu dosud nevyčerpaných darovaných prostředků. </w:t>
      </w:r>
    </w:p>
    <w:p>
      <w:pPr>
        <w:pStyle w:val="Normal"/>
        <w:jc w:val="both"/>
        <w:rPr>
          <w:rFonts w:ascii="Arial" w:hAnsi="Arial" w:cs="Arial"/>
        </w:rPr>
      </w:pPr>
      <w:r>
        <w:rPr>
          <w:rFonts w:cs="Arial"/>
        </w:rPr>
      </w:r>
    </w:p>
    <w:p>
      <w:pPr>
        <w:pStyle w:val="Normal"/>
        <w:jc w:val="both"/>
        <w:rPr>
          <w:rFonts w:ascii="Arial" w:hAnsi="Arial" w:cs="Arial"/>
        </w:rPr>
      </w:pPr>
      <w:r>
        <w:rPr>
          <w:rFonts w:cs="Arial"/>
        </w:rPr>
        <w:t>Darované služby jsou účtovány následujícím účetním zápisem:</w:t>
      </w:r>
    </w:p>
    <w:p>
      <w:pPr>
        <w:pStyle w:val="Normal"/>
        <w:numPr>
          <w:ilvl w:val="0"/>
          <w:numId w:val="10"/>
        </w:numPr>
        <w:jc w:val="both"/>
        <w:rPr>
          <w:rFonts w:ascii="Arial" w:hAnsi="Arial" w:cs="Arial"/>
        </w:rPr>
      </w:pPr>
      <w:r>
        <w:rPr>
          <w:rFonts w:cs="Arial"/>
        </w:rPr>
        <w:t>MD 518 – Služby/Dal 682 – Přijaté příspěvky.</w:t>
      </w:r>
    </w:p>
    <w:p>
      <w:pPr>
        <w:pStyle w:val="Normal"/>
        <w:jc w:val="both"/>
        <w:rPr/>
      </w:pPr>
      <w:r>
        <w:rPr/>
      </w:r>
    </w:p>
    <w:p>
      <w:pPr>
        <w:pStyle w:val="Normal"/>
        <w:jc w:val="both"/>
        <w:rPr/>
      </w:pPr>
      <w:r>
        <w:rPr/>
      </w:r>
    </w:p>
    <w:p>
      <w:pPr>
        <w:pStyle w:val="Heading2"/>
        <w:numPr>
          <w:ilvl w:val="1"/>
          <w:numId w:val="2"/>
        </w:numPr>
        <w:rPr/>
      </w:pPr>
      <w:bookmarkStart w:id="50" w:name="__RefHeading___Toc3999_220351804"/>
      <w:bookmarkEnd w:id="50"/>
      <w:r>
        <w:rPr/>
        <w:t>Dotace, tvorba a zúčtování fondů</w:t>
      </w:r>
    </w:p>
    <w:p>
      <w:pPr>
        <w:pStyle w:val="Normal"/>
        <w:jc w:val="both"/>
        <w:rPr>
          <w:rFonts w:ascii="Arial" w:hAnsi="Arial" w:cs="Arial"/>
          <w:u w:val="none"/>
        </w:rPr>
      </w:pPr>
      <w:r>
        <w:rPr>
          <w:rFonts w:cs="Arial"/>
          <w:u w:val="none"/>
        </w:rPr>
        <w:t xml:space="preserve">Účetní jednotka neúčtuje o závazných příslibech dotace a to ani v případě podpisu smlouvy s poskytovatelem dotace. O dotacích účtuje k poslednímu dni účetního období pouze ve výši, v níž byly přijaty na bankovní účet. </w:t>
      </w:r>
    </w:p>
    <w:p>
      <w:pPr>
        <w:pStyle w:val="Normal"/>
        <w:jc w:val="both"/>
        <w:rPr>
          <w:rFonts w:ascii="Arial" w:hAnsi="Arial" w:cs="Arial"/>
          <w:u w:val="none"/>
        </w:rPr>
      </w:pPr>
      <w:r>
        <w:rPr>
          <w:rFonts w:cs="Arial"/>
          <w:u w:val="none"/>
        </w:rPr>
      </w:r>
    </w:p>
    <w:p>
      <w:pPr>
        <w:pStyle w:val="Normal"/>
        <w:jc w:val="both"/>
        <w:rPr>
          <w:rFonts w:ascii="Arial" w:hAnsi="Arial" w:cs="Arial"/>
          <w:u w:val="none"/>
        </w:rPr>
      </w:pPr>
      <w:r>
        <w:rPr>
          <w:rFonts w:cs="Arial"/>
          <w:u w:val="none"/>
        </w:rPr>
        <w:t>Organizace účtuje o přijatých provozních dotacích a nevyužité peněžní prostředky eviduje jako závazek. Závazkový účet je zvolen dle typu poskytovatele příspěvku - dotace ze státního rozpočtu (včetně dotací s podílem prostředků z EU) a územních samosprávných celků na syntetické účty 34x - Vztahy se státem, dotace od ostatních donátorů na syntetické účty 37x - Jiné závazky a pohledávky.</w:t>
      </w:r>
    </w:p>
    <w:p>
      <w:pPr>
        <w:pStyle w:val="Normal"/>
        <w:jc w:val="both"/>
        <w:rPr/>
      </w:pPr>
      <w:r>
        <w:rPr/>
      </w:r>
    </w:p>
    <w:p>
      <w:pPr>
        <w:pStyle w:val="Normal"/>
        <w:jc w:val="both"/>
        <w:rPr/>
      </w:pPr>
      <w:r>
        <w:rPr>
          <w:rFonts w:cs="Arial"/>
          <w:b/>
          <w:bCs/>
          <w:u w:val="none"/>
        </w:rPr>
        <w:t>Při čerpání dotací</w:t>
      </w:r>
      <w:r>
        <w:rPr>
          <w:rFonts w:cs="Arial"/>
          <w:u w:val="none"/>
        </w:rPr>
        <w:t xml:space="preserve"> je současně s náklady zúčtována dotace do výnosů a to na syntetické účty 69x - Přijaté dotace. </w:t>
      </w:r>
    </w:p>
    <w:p>
      <w:pPr>
        <w:pStyle w:val="Normal"/>
        <w:jc w:val="both"/>
        <w:rPr/>
      </w:pPr>
      <w:r>
        <w:rPr>
          <w:rFonts w:cs="Arial"/>
          <w:b/>
          <w:bCs/>
          <w:u w:val="none"/>
        </w:rPr>
        <w:t>V případě nevyčerpání dotace</w:t>
      </w:r>
      <w:r>
        <w:rPr>
          <w:rFonts w:cs="Arial"/>
          <w:u w:val="none"/>
        </w:rPr>
        <w:t xml:space="preserve"> je její zbylá část (resp. přeplatek) i nadále evidována na syntetických účtech zmíněných závazků do doby jejího vypořádání. </w:t>
      </w:r>
    </w:p>
    <w:p>
      <w:pPr>
        <w:pStyle w:val="Normal"/>
        <w:jc w:val="both"/>
        <w:rPr/>
      </w:pPr>
      <w:r>
        <w:rPr>
          <w:rFonts w:cs="Arial"/>
          <w:b/>
          <w:bCs/>
          <w:u w:val="none"/>
        </w:rPr>
        <w:t>V případě předfinancování,</w:t>
      </w:r>
      <w:r>
        <w:rPr>
          <w:rFonts w:cs="Arial"/>
          <w:u w:val="none"/>
        </w:rPr>
        <w:t xml:space="preserve"> tj. v případech, kdy jsou nejdříve vynakládány náklady a až následně je přijata platba dotace, je částka ve výši nákladů k rozvahovému dni evidována na syntetickém účtu 388 – Dohadné účty aktivní až do doby schválení příslušného vyúčtování.</w:t>
      </w:r>
    </w:p>
    <w:p>
      <w:pPr>
        <w:pStyle w:val="Normal"/>
        <w:jc w:val="both"/>
        <w:rPr/>
      </w:pPr>
      <w:r>
        <w:rPr>
          <w:rFonts w:cs="Arial"/>
          <w:b/>
          <w:bCs/>
          <w:u w:val="none"/>
        </w:rPr>
        <w:t>V případě, že vyúčtování dotace (příp. závěrečné či průběžné finanční zprávy) již bylo poskytovatelem schváleno</w:t>
      </w:r>
      <w:r>
        <w:rPr>
          <w:rFonts w:cs="Arial"/>
          <w:u w:val="none"/>
        </w:rPr>
        <w:t>, je schválený nedoplatek evidován jako pohledávka na syntetických účtech 34x - Vztahy se státem nebo 37x - Jiné závazky a pohledávky opět v závislosti na typu poskytovatele dotace.</w:t>
      </w:r>
    </w:p>
    <w:p>
      <w:pPr>
        <w:pStyle w:val="Normal"/>
        <w:jc w:val="both"/>
        <w:rPr>
          <w:rFonts w:ascii="Arial" w:hAnsi="Arial" w:cs="Arial"/>
          <w:u w:val="none"/>
        </w:rPr>
      </w:pPr>
      <w:r>
        <w:rPr>
          <w:rFonts w:cs="Arial"/>
          <w:u w:val="none"/>
        </w:rPr>
      </w:r>
    </w:p>
    <w:p>
      <w:pPr>
        <w:pStyle w:val="Normal"/>
        <w:jc w:val="both"/>
        <w:rPr>
          <w:rFonts w:ascii="Arial" w:hAnsi="Arial" w:eastAsia="Arial" w:cs="Arial"/>
          <w:b w:val="false"/>
          <w:b w:val="false"/>
          <w:bCs w:val="false"/>
          <w:szCs w:val="24"/>
          <w:u w:val="none"/>
        </w:rPr>
      </w:pPr>
      <w:r>
        <w:rPr>
          <w:rFonts w:eastAsia="Arial" w:cs="Arial"/>
          <w:b w:val="false"/>
          <w:bCs w:val="false"/>
          <w:szCs w:val="24"/>
          <w:u w:val="none"/>
        </w:rPr>
        <w:t>V případě, že jde o dotaci vyúčtovávanou v eurech (popř. jiné cizí měně), sleduje se stav těchto účtů nejen v korunách, ale i v dané cizí měně. K rozvahovému dni dojde jako u ostatních pohledávek a závazků i u výše uvedených k přecenění kurzem ČNB k 31.12. běžného roku. Dohadné položky aktivní i pasivní jsou rovněž přeceňovány kurzem ČNB k rozvahovému dni, náklady příštího období, výdaje příštího období, výnosy příštího období a příjmy příštího období nikoli.</w:t>
      </w:r>
    </w:p>
    <w:p>
      <w:pPr>
        <w:pStyle w:val="Normal"/>
        <w:jc w:val="both"/>
        <w:rPr/>
      </w:pPr>
      <w:r>
        <w:rPr/>
      </w:r>
    </w:p>
    <w:p>
      <w:pPr>
        <w:pStyle w:val="Normal"/>
        <w:jc w:val="both"/>
        <w:rPr>
          <w:rFonts w:ascii="Arial" w:hAnsi="Arial" w:cs="Arial"/>
          <w:u w:val="none"/>
        </w:rPr>
      </w:pPr>
      <w:r>
        <w:rPr>
          <w:rFonts w:cs="Arial"/>
          <w:u w:val="none"/>
        </w:rPr>
        <w:t>Účetní jednotka používá pro oddělení účtování o čerpání jednotlivých přijatých dotací a dalších finančních zdrojů hierarchický systém účetních středisek. Aktuálně platný seznam středisek je dostupný u hlavní účetní.</w:t>
      </w:r>
    </w:p>
    <w:p>
      <w:pPr>
        <w:pStyle w:val="Normal"/>
        <w:jc w:val="both"/>
        <w:rPr>
          <w:rFonts w:ascii="Arial" w:hAnsi="Arial" w:cs="Arial"/>
          <w:u w:val="none"/>
        </w:rPr>
      </w:pPr>
      <w:r>
        <w:rPr>
          <w:rFonts w:cs="Arial"/>
          <w:u w:val="none"/>
        </w:rPr>
      </w:r>
      <w:r>
        <w:br w:type="page"/>
      </w:r>
    </w:p>
    <w:p>
      <w:pPr>
        <w:pStyle w:val="Heading1"/>
        <w:numPr>
          <w:ilvl w:val="0"/>
          <w:numId w:val="2"/>
        </w:numPr>
        <w:ind w:left="0" w:right="0" w:hanging="0"/>
        <w:rPr/>
      </w:pPr>
      <w:bookmarkStart w:id="51" w:name="__RefHeading___Toc6755_173049253"/>
      <w:bookmarkEnd w:id="51"/>
      <w:r>
        <w:rPr/>
        <w:t>Členské příspěvky</w:t>
      </w:r>
    </w:p>
    <w:p>
      <w:pPr>
        <w:pStyle w:val="Normal"/>
        <w:jc w:val="both"/>
        <w:rPr/>
      </w:pPr>
      <w:r>
        <w:rPr/>
      </w:r>
    </w:p>
    <w:p>
      <w:pPr>
        <w:pStyle w:val="Normal"/>
        <w:jc w:val="both"/>
        <w:rPr>
          <w:rFonts w:ascii="Arial" w:hAnsi="Arial" w:cs="Arial"/>
          <w:b w:val="false"/>
          <w:b w:val="false"/>
          <w:bCs w:val="false"/>
          <w:sz w:val="22"/>
          <w:szCs w:val="22"/>
          <w:u w:val="none"/>
        </w:rPr>
      </w:pPr>
      <w:r>
        <w:rPr>
          <w:rFonts w:cs="Arial"/>
          <w:b w:val="false"/>
          <w:bCs w:val="false"/>
          <w:sz w:val="22"/>
          <w:szCs w:val="22"/>
          <w:u w:val="none"/>
        </w:rPr>
        <w:t>Členské příspěvky jsou stanoveny na 2 000 Kč ročně pro skupinové členy a 200 Kč ročně pro individuální členy. Účtováno je v okamžiku přijetí příspěvku na bankovní účet přímo do výnosů organizace zápisem 221 MD  Banka/ 681 D - Přijaté členské příspěvky.</w:t>
      </w:r>
    </w:p>
    <w:p>
      <w:pPr>
        <w:pStyle w:val="Normal"/>
        <w:widowControl/>
        <w:tabs>
          <w:tab w:val="clear" w:pos="708"/>
          <w:tab w:val="left" w:pos="0" w:leader="none"/>
        </w:tabs>
        <w:suppressAutoHyphens w:val="true"/>
        <w:ind w:left="0" w:right="0" w:hanging="0"/>
        <w:jc w:val="both"/>
        <w:rPr>
          <w:rFonts w:ascii="Arial" w:hAnsi="Arial" w:cs="Arial"/>
          <w:b w:val="false"/>
          <w:b w:val="false"/>
          <w:bCs w:val="false"/>
          <w:sz w:val="20"/>
          <w:szCs w:val="20"/>
          <w:u w:val="none"/>
        </w:rPr>
      </w:pPr>
      <w:r>
        <w:rPr>
          <w:rFonts w:cs="Arial"/>
          <w:b w:val="false"/>
          <w:bCs w:val="false"/>
          <w:sz w:val="20"/>
          <w:szCs w:val="20"/>
          <w:u w:val="none"/>
        </w:rPr>
      </w:r>
      <w:r>
        <w:br w:type="page"/>
      </w:r>
    </w:p>
    <w:p>
      <w:pPr>
        <w:pStyle w:val="Heading1"/>
        <w:numPr>
          <w:ilvl w:val="0"/>
          <w:numId w:val="2"/>
        </w:numPr>
        <w:ind w:left="0" w:right="0" w:hanging="0"/>
        <w:rPr/>
      </w:pPr>
      <w:bookmarkStart w:id="52" w:name="__RefHeading___Toc4001_220351804"/>
      <w:bookmarkEnd w:id="52"/>
      <w:r>
        <w:rPr/>
        <w:t>Hlavní a vedlejší činnost organizace</w:t>
      </w:r>
    </w:p>
    <w:p>
      <w:pPr>
        <w:pStyle w:val="Normal"/>
        <w:rPr>
          <w:rFonts w:cs="Arial"/>
          <w:sz w:val="22"/>
          <w:szCs w:val="22"/>
        </w:rPr>
      </w:pPr>
      <w:r>
        <w:rPr>
          <w:rFonts w:cs="Arial"/>
          <w:sz w:val="22"/>
          <w:szCs w:val="22"/>
        </w:rPr>
      </w:r>
    </w:p>
    <w:p>
      <w:pPr>
        <w:pStyle w:val="Normal"/>
        <w:rPr>
          <w:rFonts w:cs="Arial"/>
          <w:sz w:val="22"/>
          <w:szCs w:val="22"/>
        </w:rPr>
      </w:pPr>
      <w:r>
        <w:rPr>
          <w:rFonts w:cs="Arial"/>
          <w:sz w:val="22"/>
          <w:szCs w:val="22"/>
        </w:rPr>
      </w:r>
    </w:p>
    <w:p>
      <w:pPr>
        <w:pStyle w:val="TextBody"/>
        <w:rPr/>
      </w:pPr>
      <w:r>
        <w:rPr>
          <w:rFonts w:cs="Arial"/>
          <w:b/>
          <w:bCs/>
          <w:sz w:val="22"/>
          <w:szCs w:val="22"/>
        </w:rPr>
        <w:t>Účel organizace</w:t>
      </w:r>
      <w:r>
        <w:rPr>
          <w:rFonts w:cs="Arial"/>
          <w:sz w:val="22"/>
          <w:szCs w:val="22"/>
        </w:rPr>
        <w:t xml:space="preserve">: </w:t>
      </w:r>
      <w:r>
        <w:rPr>
          <w:rFonts w:cs="Arial"/>
          <w:b w:val="false"/>
          <w:i w:val="false"/>
          <w:caps w:val="false"/>
          <w:smallCaps w:val="false"/>
          <w:color w:val="333333"/>
          <w:spacing w:val="0"/>
          <w:sz w:val="22"/>
          <w:szCs w:val="22"/>
        </w:rPr>
        <w:t>Profesionalizace sociálních služeb zejména prostřednictvím vzdělávání a certifikací.</w:t>
      </w:r>
    </w:p>
    <w:p>
      <w:pPr>
        <w:pStyle w:val="TextBody"/>
        <w:rPr>
          <w:rFonts w:cs="Arial"/>
          <w:sz w:val="22"/>
          <w:szCs w:val="22"/>
        </w:rPr>
      </w:pPr>
      <w:r>
        <w:rPr>
          <w:rFonts w:cs="Arial"/>
          <w:sz w:val="22"/>
          <w:szCs w:val="22"/>
        </w:rPr>
      </w:r>
    </w:p>
    <w:p>
      <w:pPr>
        <w:pStyle w:val="TextBody"/>
        <w:rPr>
          <w:rFonts w:cs="Arial"/>
          <w:sz w:val="22"/>
          <w:szCs w:val="22"/>
        </w:rPr>
      </w:pPr>
      <w:r>
        <w:rPr>
          <w:rFonts w:cs="Arial"/>
          <w:sz w:val="22"/>
          <w:szCs w:val="22"/>
        </w:rPr>
        <w:t>Mezi hlavní činnosti organizace patří zejména:</w:t>
      </w:r>
    </w:p>
    <w:p>
      <w:pPr>
        <w:pStyle w:val="TextBody"/>
        <w:numPr>
          <w:ilvl w:val="0"/>
          <w:numId w:val="18"/>
        </w:numPr>
        <w:rPr/>
      </w:pPr>
      <w:r>
        <w:rPr>
          <w:rFonts w:cs="Arial"/>
          <w:sz w:val="22"/>
          <w:szCs w:val="22"/>
        </w:rPr>
        <w:t>vzdělávání,</w:t>
      </w:r>
    </w:p>
    <w:p>
      <w:pPr>
        <w:pStyle w:val="TextBody"/>
        <w:numPr>
          <w:ilvl w:val="0"/>
          <w:numId w:val="18"/>
        </w:numPr>
        <w:rPr/>
      </w:pPr>
      <w:r>
        <w:rPr>
          <w:rFonts w:cs="Arial"/>
          <w:sz w:val="22"/>
          <w:szCs w:val="22"/>
        </w:rPr>
        <w:t>certifikace,</w:t>
      </w:r>
    </w:p>
    <w:p>
      <w:pPr>
        <w:pStyle w:val="TextBody"/>
        <w:numPr>
          <w:ilvl w:val="0"/>
          <w:numId w:val="18"/>
        </w:numPr>
        <w:rPr/>
      </w:pPr>
      <w:r>
        <w:rPr>
          <w:rFonts w:cs="Arial"/>
          <w:sz w:val="22"/>
          <w:szCs w:val="22"/>
        </w:rPr>
        <w:t>individuální poradenství.</w:t>
      </w:r>
    </w:p>
    <w:p>
      <w:pPr>
        <w:pStyle w:val="TextBody"/>
        <w:rPr>
          <w:rFonts w:cs="Arial"/>
          <w:sz w:val="22"/>
          <w:szCs w:val="22"/>
        </w:rPr>
      </w:pPr>
      <w:r>
        <w:rPr>
          <w:rFonts w:cs="Arial"/>
          <w:sz w:val="22"/>
          <w:szCs w:val="22"/>
        </w:rPr>
      </w:r>
    </w:p>
    <w:p>
      <w:pPr>
        <w:pStyle w:val="TextBody"/>
        <w:rPr>
          <w:rFonts w:cs="Arial"/>
          <w:sz w:val="22"/>
          <w:szCs w:val="22"/>
        </w:rPr>
      </w:pPr>
      <w:r>
        <w:rPr>
          <w:rFonts w:cs="Arial"/>
          <w:sz w:val="22"/>
          <w:szCs w:val="22"/>
        </w:rPr>
        <w:t xml:space="preserve">Organizace provádí též vedlejší činnosti, pro které má registrovaný živnostenský list. Jde zejména o přednášky na míru pro podnikatelské subjekty a související poradenství. Organizace poskytuje též reklamní služby. </w:t>
      </w:r>
    </w:p>
    <w:p>
      <w:pPr>
        <w:pStyle w:val="TextBody"/>
        <w:rPr>
          <w:rFonts w:cs="Arial"/>
          <w:sz w:val="22"/>
          <w:szCs w:val="22"/>
        </w:rPr>
      </w:pPr>
      <w:r>
        <w:rPr>
          <w:rFonts w:cs="Arial"/>
          <w:sz w:val="22"/>
          <w:szCs w:val="22"/>
        </w:rPr>
      </w:r>
    </w:p>
    <w:p>
      <w:pPr>
        <w:pStyle w:val="TextBody"/>
        <w:rPr/>
      </w:pPr>
      <w:r>
        <w:rPr>
          <w:rFonts w:cs="Arial"/>
          <w:b/>
          <w:bCs/>
          <w:sz w:val="22"/>
          <w:szCs w:val="22"/>
        </w:rPr>
        <w:t>Výnosy</w:t>
      </w:r>
      <w:r>
        <w:rPr>
          <w:rFonts w:cs="Arial"/>
          <w:sz w:val="22"/>
          <w:szCs w:val="22"/>
        </w:rPr>
        <w:t xml:space="preserve"> organizace odpovídají hlavním a vedlejším činnostem jsou následující:</w:t>
      </w:r>
    </w:p>
    <w:p>
      <w:pPr>
        <w:pStyle w:val="TextBody"/>
        <w:numPr>
          <w:ilvl w:val="0"/>
          <w:numId w:val="15"/>
        </w:numPr>
        <w:rPr>
          <w:rFonts w:cs="Arial"/>
          <w:sz w:val="22"/>
          <w:szCs w:val="22"/>
        </w:rPr>
      </w:pPr>
      <w:r>
        <w:rPr>
          <w:rFonts w:cs="Arial"/>
          <w:sz w:val="22"/>
          <w:szCs w:val="22"/>
        </w:rPr>
        <w:t>akreditované kvalifikační vzdělávání,</w:t>
      </w:r>
    </w:p>
    <w:p>
      <w:pPr>
        <w:pStyle w:val="TextBody"/>
        <w:numPr>
          <w:ilvl w:val="0"/>
          <w:numId w:val="15"/>
        </w:numPr>
        <w:rPr>
          <w:rFonts w:cs="Arial"/>
          <w:sz w:val="22"/>
          <w:szCs w:val="22"/>
        </w:rPr>
      </w:pPr>
      <w:r>
        <w:rPr>
          <w:rFonts w:cs="Arial"/>
          <w:sz w:val="22"/>
          <w:szCs w:val="22"/>
        </w:rPr>
        <w:t>ostatní vzdělávání,</w:t>
      </w:r>
    </w:p>
    <w:p>
      <w:pPr>
        <w:pStyle w:val="TextBody"/>
        <w:numPr>
          <w:ilvl w:val="0"/>
          <w:numId w:val="15"/>
        </w:numPr>
        <w:rPr>
          <w:rFonts w:cs="Arial"/>
          <w:sz w:val="22"/>
          <w:szCs w:val="22"/>
        </w:rPr>
      </w:pPr>
      <w:r>
        <w:rPr>
          <w:rFonts w:cs="Arial"/>
          <w:sz w:val="22"/>
          <w:szCs w:val="22"/>
        </w:rPr>
        <w:t>certifikace,</w:t>
      </w:r>
    </w:p>
    <w:p>
      <w:pPr>
        <w:pStyle w:val="TextBody"/>
        <w:numPr>
          <w:ilvl w:val="0"/>
          <w:numId w:val="15"/>
        </w:numPr>
        <w:rPr>
          <w:rFonts w:cs="Arial"/>
          <w:sz w:val="22"/>
          <w:szCs w:val="22"/>
        </w:rPr>
      </w:pPr>
      <w:r>
        <w:rPr>
          <w:rFonts w:cs="Arial"/>
          <w:sz w:val="22"/>
          <w:szCs w:val="22"/>
        </w:rPr>
        <w:t>poradenství a ostatní,</w:t>
      </w:r>
    </w:p>
    <w:p>
      <w:pPr>
        <w:pStyle w:val="TextBody"/>
        <w:numPr>
          <w:ilvl w:val="0"/>
          <w:numId w:val="15"/>
        </w:numPr>
        <w:rPr>
          <w:rFonts w:cs="Arial"/>
          <w:sz w:val="22"/>
          <w:szCs w:val="22"/>
        </w:rPr>
      </w:pPr>
      <w:r>
        <w:rPr>
          <w:rFonts w:cs="Arial"/>
          <w:sz w:val="22"/>
          <w:szCs w:val="22"/>
        </w:rPr>
        <w:t>komerční vzdělávání a poradenství,</w:t>
      </w:r>
    </w:p>
    <w:p>
      <w:pPr>
        <w:pStyle w:val="TextBody"/>
        <w:numPr>
          <w:ilvl w:val="0"/>
          <w:numId w:val="15"/>
        </w:numPr>
        <w:rPr>
          <w:rFonts w:cs="Arial"/>
          <w:sz w:val="22"/>
          <w:szCs w:val="22"/>
        </w:rPr>
      </w:pPr>
      <w:r>
        <w:rPr>
          <w:rFonts w:cs="Arial"/>
          <w:sz w:val="22"/>
          <w:szCs w:val="22"/>
        </w:rPr>
        <w:t xml:space="preserve">reklamní služby. </w:t>
      </w:r>
    </w:p>
    <w:p>
      <w:pPr>
        <w:pStyle w:val="TextBody"/>
        <w:rPr>
          <w:rFonts w:cs="Arial"/>
          <w:sz w:val="22"/>
          <w:szCs w:val="22"/>
        </w:rPr>
      </w:pPr>
      <w:r>
        <w:rPr>
          <w:rFonts w:cs="Arial"/>
          <w:sz w:val="22"/>
          <w:szCs w:val="22"/>
        </w:rPr>
      </w:r>
    </w:p>
    <w:p>
      <w:pPr>
        <w:pStyle w:val="TextBody"/>
        <w:rPr>
          <w:rFonts w:cs="Arial"/>
          <w:sz w:val="22"/>
          <w:szCs w:val="22"/>
        </w:rPr>
      </w:pPr>
      <w:r>
        <w:rPr>
          <w:rFonts w:cs="Arial"/>
          <w:sz w:val="22"/>
          <w:szCs w:val="22"/>
        </w:rPr>
        <w:t>Ceny za služby organizace stanovuje na základě kalkulace vynaložených nákladů.</w:t>
      </w:r>
    </w:p>
    <w:p>
      <w:pPr>
        <w:pStyle w:val="TextBody"/>
        <w:rPr>
          <w:rFonts w:cs="Arial"/>
          <w:sz w:val="22"/>
          <w:szCs w:val="22"/>
        </w:rPr>
      </w:pPr>
      <w:r>
        <w:rPr>
          <w:rFonts w:cs="Arial"/>
          <w:sz w:val="22"/>
          <w:szCs w:val="22"/>
        </w:rPr>
      </w:r>
    </w:p>
    <w:p>
      <w:pPr>
        <w:pStyle w:val="TextBody"/>
        <w:rPr/>
      </w:pPr>
      <w:r>
        <w:rPr>
          <w:rFonts w:cs="Arial"/>
          <w:b/>
          <w:bCs/>
          <w:sz w:val="22"/>
          <w:szCs w:val="22"/>
          <w:u w:val="none"/>
        </w:rPr>
        <w:t>Náklady</w:t>
      </w:r>
      <w:r>
        <w:rPr>
          <w:rFonts w:cs="Arial"/>
          <w:b w:val="false"/>
          <w:bCs w:val="false"/>
          <w:sz w:val="22"/>
          <w:szCs w:val="22"/>
          <w:u w:val="none"/>
        </w:rPr>
        <w:t xml:space="preserve"> organizace jsou s ohledem na činnosti následující:</w:t>
      </w:r>
    </w:p>
    <w:p>
      <w:pPr>
        <w:pStyle w:val="TextBody"/>
        <w:numPr>
          <w:ilvl w:val="0"/>
          <w:numId w:val="16"/>
        </w:numPr>
        <w:rPr>
          <w:rFonts w:cs="Arial"/>
          <w:sz w:val="22"/>
          <w:szCs w:val="22"/>
        </w:rPr>
      </w:pPr>
      <w:r>
        <w:rPr>
          <w:rFonts w:cs="Arial"/>
          <w:sz w:val="22"/>
          <w:szCs w:val="22"/>
        </w:rPr>
        <w:t>Přímé</w:t>
      </w:r>
    </w:p>
    <w:p>
      <w:pPr>
        <w:pStyle w:val="TextBody"/>
        <w:numPr>
          <w:ilvl w:val="1"/>
          <w:numId w:val="16"/>
        </w:numPr>
        <w:rPr>
          <w:rFonts w:cs="Arial"/>
          <w:sz w:val="22"/>
          <w:szCs w:val="22"/>
        </w:rPr>
      </w:pPr>
      <w:r>
        <w:rPr>
          <w:rFonts w:cs="Arial"/>
          <w:sz w:val="22"/>
          <w:szCs w:val="22"/>
        </w:rPr>
        <w:t>Přímé náklady jsou přiřazovány pomocí středisek přímo k jednotlivým činnostem (výnosům)</w:t>
      </w:r>
    </w:p>
    <w:p>
      <w:pPr>
        <w:pStyle w:val="TextBody"/>
        <w:numPr>
          <w:ilvl w:val="0"/>
          <w:numId w:val="16"/>
        </w:numPr>
        <w:rPr>
          <w:rFonts w:cs="Arial"/>
          <w:sz w:val="22"/>
          <w:szCs w:val="22"/>
        </w:rPr>
      </w:pPr>
      <w:r>
        <w:rPr>
          <w:rFonts w:cs="Arial"/>
          <w:sz w:val="22"/>
          <w:szCs w:val="22"/>
        </w:rPr>
        <w:t>Nepřímé (režijní)</w:t>
      </w:r>
    </w:p>
    <w:p>
      <w:pPr>
        <w:pStyle w:val="TextBody"/>
        <w:numPr>
          <w:ilvl w:val="1"/>
          <w:numId w:val="16"/>
        </w:numPr>
        <w:rPr/>
      </w:pPr>
      <w:r>
        <w:rPr>
          <w:rFonts w:cs="Arial"/>
          <w:b w:val="false"/>
          <w:bCs w:val="false"/>
          <w:sz w:val="22"/>
          <w:szCs w:val="22"/>
          <w:u w:val="none"/>
        </w:rPr>
        <w:t>Režijní náklady jsou alokovány k jednotlivým činnostem jednou ročně. Rozvrhovou základnou jsou přímé náklady na jednotlivé činnosti, na základě nich jsou ročně zjištěny alokační klíče pro rozvržení režijních nákladů k činnostem.</w:t>
      </w:r>
    </w:p>
    <w:p>
      <w:pPr>
        <w:pStyle w:val="TextBody"/>
        <w:rPr>
          <w:rFonts w:cs="Arial"/>
          <w:sz w:val="22"/>
          <w:szCs w:val="22"/>
        </w:rPr>
      </w:pPr>
      <w:r>
        <w:rPr>
          <w:rFonts w:cs="Arial"/>
          <w:sz w:val="22"/>
          <w:szCs w:val="22"/>
        </w:rPr>
      </w:r>
    </w:p>
    <w:p>
      <w:pPr>
        <w:pStyle w:val="TextBody"/>
        <w:rPr>
          <w:rFonts w:cs="Arial"/>
          <w:sz w:val="22"/>
          <w:szCs w:val="22"/>
        </w:rPr>
      </w:pPr>
      <w:r>
        <w:rPr>
          <w:rFonts w:cs="Arial"/>
          <w:sz w:val="22"/>
          <w:szCs w:val="22"/>
        </w:rPr>
      </w:r>
      <w:r>
        <w:br w:type="page"/>
      </w:r>
    </w:p>
    <w:p>
      <w:pPr>
        <w:pStyle w:val="Heading1"/>
        <w:numPr>
          <w:ilvl w:val="0"/>
          <w:numId w:val="2"/>
        </w:numPr>
        <w:ind w:left="0" w:right="0" w:hanging="0"/>
        <w:rPr/>
      </w:pPr>
      <w:bookmarkStart w:id="53" w:name="__RefHeading___Toc2607_1776084317"/>
      <w:bookmarkEnd w:id="53"/>
      <w:r>
        <w:rPr/>
        <w:t>Daňová klasifikace výnosů</w:t>
      </w:r>
    </w:p>
    <w:p>
      <w:pPr>
        <w:pStyle w:val="Normal"/>
        <w:rPr/>
      </w:pPr>
      <w:r>
        <w:rPr/>
      </w:r>
    </w:p>
    <w:p>
      <w:pPr>
        <w:pStyle w:val="Normal"/>
        <w:rPr/>
      </w:pPr>
      <w:r>
        <w:rPr/>
      </w:r>
    </w:p>
    <w:p>
      <w:pPr>
        <w:pStyle w:val="Heading2"/>
        <w:numPr>
          <w:ilvl w:val="1"/>
          <w:numId w:val="2"/>
        </w:numPr>
        <w:rPr/>
      </w:pPr>
      <w:bookmarkStart w:id="54" w:name="__RefHeading___Toc2609_1776084317"/>
      <w:bookmarkEnd w:id="54"/>
      <w:r>
        <w:rPr/>
        <w:t>Klasifikace z pohledu daně z příjmů</w:t>
      </w:r>
    </w:p>
    <w:p>
      <w:pPr>
        <w:pStyle w:val="Normal"/>
        <w:jc w:val="both"/>
        <w:rPr/>
      </w:pPr>
      <w:r>
        <w:rPr/>
        <w:t xml:space="preserve">Hlavní činnosti jsou nepodnikatelskými činnostmi. Organizace rozlišuje z pohledu daně z příjmů 4 druhy hlavních činností, z nichž plynou výnosy viz předcházející bod. Pokud je výsledek hospodaření v dané činnosti záporný (ztráta), tyto výnosy /příjmy nejsou předmětem daně. Pokud je výsledek hospodaření kladný (zisk), pak výnosy /příjmy jsou předmětem daně. </w:t>
      </w:r>
    </w:p>
    <w:p>
      <w:pPr>
        <w:pStyle w:val="TextBody"/>
        <w:rPr>
          <w:rFonts w:cs="Arial"/>
          <w:sz w:val="22"/>
          <w:szCs w:val="22"/>
        </w:rPr>
      </w:pPr>
      <w:r>
        <w:rPr>
          <w:rFonts w:cs="Arial"/>
          <w:sz w:val="22"/>
          <w:szCs w:val="22"/>
        </w:rPr>
      </w:r>
    </w:p>
    <w:p>
      <w:pPr>
        <w:pStyle w:val="TextBody"/>
        <w:rPr>
          <w:rFonts w:cs="Arial"/>
          <w:sz w:val="22"/>
          <w:szCs w:val="22"/>
        </w:rPr>
      </w:pPr>
      <w:r>
        <w:rPr>
          <w:rFonts w:cs="Arial"/>
          <w:sz w:val="22"/>
          <w:szCs w:val="22"/>
        </w:rPr>
      </w:r>
    </w:p>
    <w:p>
      <w:pPr>
        <w:pStyle w:val="Heading2"/>
        <w:numPr>
          <w:ilvl w:val="1"/>
          <w:numId w:val="2"/>
        </w:numPr>
        <w:rPr/>
      </w:pPr>
      <w:bookmarkStart w:id="55" w:name="__RefHeading___Toc2611_1776084317"/>
      <w:bookmarkEnd w:id="55"/>
      <w:r>
        <w:rPr/>
        <w:t>Klasifikace výnosů z pohledu DPH</w:t>
      </w:r>
    </w:p>
    <w:p>
      <w:pPr>
        <w:pStyle w:val="TextBody"/>
        <w:rPr>
          <w:rFonts w:cs="Arial"/>
          <w:sz w:val="22"/>
          <w:szCs w:val="22"/>
        </w:rPr>
      </w:pPr>
      <w:r>
        <w:rPr>
          <w:rFonts w:cs="Arial"/>
          <w:sz w:val="22"/>
          <w:szCs w:val="22"/>
        </w:rPr>
        <w:t xml:space="preserve">Organizace není plátcem DPH. Organizace sleduje svůj obrat pro účely porovnání se zákonem stanovenou hranici obratu ve výši 1 mil. Kč pro účely registrace plátce DPH. </w:t>
      </w:r>
    </w:p>
    <w:p>
      <w:pPr>
        <w:pStyle w:val="TextBody"/>
        <w:rPr>
          <w:rFonts w:cs="Arial"/>
          <w:sz w:val="22"/>
          <w:szCs w:val="22"/>
        </w:rPr>
      </w:pPr>
      <w:r>
        <w:rPr>
          <w:rFonts w:cs="Arial"/>
          <w:sz w:val="22"/>
          <w:szCs w:val="22"/>
        </w:rPr>
      </w:r>
    </w:p>
    <w:p>
      <w:pPr>
        <w:pStyle w:val="TextBody"/>
        <w:rPr/>
      </w:pPr>
      <w:r>
        <w:rPr>
          <w:rFonts w:cs="Arial"/>
          <w:sz w:val="22"/>
          <w:szCs w:val="22"/>
          <w:u w:val="none"/>
        </w:rPr>
        <w:t xml:space="preserve">Výnosy z titulu </w:t>
      </w:r>
      <w:r>
        <w:rPr>
          <w:rFonts w:cs="Arial"/>
          <w:b/>
          <w:bCs/>
          <w:sz w:val="22"/>
          <w:szCs w:val="22"/>
          <w:u w:val="none"/>
        </w:rPr>
        <w:t xml:space="preserve">ostatního vzdělávání, certifikačních i poradenských služeb </w:t>
      </w:r>
      <w:r>
        <w:rPr>
          <w:rFonts w:cs="Arial"/>
          <w:sz w:val="22"/>
          <w:szCs w:val="22"/>
          <w:u w:val="none"/>
        </w:rPr>
        <w:t xml:space="preserve">jsou zdanitelným plněním z pohledu DPH a organizace je </w:t>
      </w:r>
      <w:r>
        <w:rPr>
          <w:rFonts w:cs="Arial"/>
          <w:b/>
          <w:bCs/>
          <w:sz w:val="22"/>
          <w:szCs w:val="22"/>
          <w:u w:val="none"/>
        </w:rPr>
        <w:t>započítává do obratu</w:t>
      </w:r>
      <w:r>
        <w:rPr>
          <w:rFonts w:cs="Arial"/>
          <w:sz w:val="22"/>
          <w:szCs w:val="22"/>
          <w:u w:val="none"/>
        </w:rPr>
        <w:t xml:space="preserve">. Stejně tak organizace započítává do obratu všechny výnosy z vedlejší činnosti. </w:t>
      </w:r>
    </w:p>
    <w:p>
      <w:pPr>
        <w:pStyle w:val="TextBody"/>
        <w:rPr>
          <w:rFonts w:cs="Arial"/>
          <w:sz w:val="22"/>
          <w:szCs w:val="22"/>
        </w:rPr>
      </w:pPr>
      <w:r>
        <w:rPr>
          <w:rFonts w:cs="Arial"/>
          <w:sz w:val="22"/>
          <w:szCs w:val="22"/>
        </w:rPr>
      </w:r>
    </w:p>
    <w:p>
      <w:pPr>
        <w:pStyle w:val="TextBody"/>
        <w:rPr/>
      </w:pPr>
      <w:r>
        <w:rPr>
          <w:rFonts w:cs="Arial"/>
          <w:sz w:val="22"/>
          <w:szCs w:val="22"/>
          <w:u w:val="none"/>
        </w:rPr>
        <w:t>Výnosy z titulu</w:t>
      </w:r>
      <w:r>
        <w:rPr>
          <w:rFonts w:cs="Arial"/>
          <w:b/>
          <w:bCs/>
          <w:sz w:val="22"/>
          <w:szCs w:val="22"/>
          <w:u w:val="none"/>
        </w:rPr>
        <w:t xml:space="preserve"> akreditovaného kvalifikačního vzdělávání jsou osvobozené</w:t>
      </w:r>
      <w:r>
        <w:rPr>
          <w:rFonts w:cs="Arial"/>
          <w:sz w:val="22"/>
          <w:szCs w:val="22"/>
          <w:u w:val="none"/>
        </w:rPr>
        <w:t xml:space="preserve"> dle §57 odst. 1 písm. d) zákona č. 235/2004 Sb., o DPH, který zní:</w:t>
      </w:r>
    </w:p>
    <w:p>
      <w:pPr>
        <w:pStyle w:val="TextBody"/>
        <w:rPr>
          <w:rFonts w:cs="Arial"/>
          <w:sz w:val="22"/>
          <w:szCs w:val="22"/>
        </w:rPr>
      </w:pPr>
      <w:r>
        <w:rPr>
          <w:rFonts w:cs="Arial"/>
          <w:sz w:val="22"/>
          <w:szCs w:val="22"/>
        </w:rPr>
      </w:r>
    </w:p>
    <w:p>
      <w:pPr>
        <w:pStyle w:val="TextBody"/>
        <w:numPr>
          <w:ilvl w:val="0"/>
          <w:numId w:val="17"/>
        </w:numPr>
        <w:rPr/>
      </w:pPr>
      <w:r>
        <w:rPr>
          <w:rFonts w:cs="Arial"/>
          <w:caps w:val="false"/>
          <w:smallCaps w:val="false"/>
          <w:color w:val="000000"/>
          <w:spacing w:val="0"/>
          <w:sz w:val="22"/>
          <w:szCs w:val="22"/>
          <w:u w:val="none"/>
        </w:rPr>
        <w:t>činnost prováděná za účelem rekvalifikace poskytovaná osobami, které získaly akreditaci k provádění rekvalifikace podle zvláštních právních předpisů, a osobami, které provádí rekvalifikaci k získání kvalifikačních požadavků podle státních norem nebo k získání odborné způsobilosti pro výkon pracovní činnosti, které mají akreditované vzdělávací programy,</w:t>
      </w:r>
      <w:r>
        <w:rPr>
          <w:rFonts w:cs="Arial"/>
          <w:sz w:val="22"/>
          <w:szCs w:val="22"/>
          <w:u w:val="none"/>
        </w:rPr>
        <w:t xml:space="preserve"> </w:t>
      </w:r>
    </w:p>
    <w:p>
      <w:pPr>
        <w:pStyle w:val="TextBody"/>
        <w:rPr>
          <w:rFonts w:cs="Arial"/>
          <w:sz w:val="22"/>
          <w:szCs w:val="22"/>
        </w:rPr>
      </w:pPr>
      <w:r>
        <w:rPr>
          <w:rFonts w:cs="Arial"/>
          <w:sz w:val="22"/>
          <w:szCs w:val="22"/>
        </w:rPr>
      </w:r>
    </w:p>
    <w:p>
      <w:pPr>
        <w:pStyle w:val="TextBody"/>
        <w:rPr>
          <w:rFonts w:cs="Arial"/>
          <w:sz w:val="22"/>
          <w:szCs w:val="22"/>
        </w:rPr>
      </w:pPr>
      <w:r>
        <w:rPr>
          <w:rFonts w:cs="Arial"/>
          <w:sz w:val="22"/>
          <w:szCs w:val="22"/>
        </w:rPr>
        <w:t>Organizace v rámci akreditovaného kvalifikačního vzdělávání provádí vzdělávání pracovníků sociálních služeb, které je v rámci akreditovaných programů. Jde o nutné vzdělávání, které pracovníci potřebují k udržení kvalifikace.</w:t>
      </w:r>
    </w:p>
    <w:p>
      <w:pPr>
        <w:pStyle w:val="TextBody"/>
        <w:rPr>
          <w:rFonts w:cs="Arial"/>
          <w:sz w:val="22"/>
          <w:szCs w:val="22"/>
        </w:rPr>
      </w:pPr>
      <w:r>
        <w:rPr>
          <w:rFonts w:cs="Arial"/>
          <w:sz w:val="22"/>
          <w:szCs w:val="22"/>
        </w:rPr>
      </w:r>
    </w:p>
    <w:p>
      <w:pPr>
        <w:pStyle w:val="TextBody"/>
        <w:rPr>
          <w:rFonts w:cs="Arial"/>
          <w:sz w:val="22"/>
          <w:szCs w:val="22"/>
        </w:rPr>
      </w:pPr>
      <w:r>
        <w:rPr>
          <w:rFonts w:cs="Arial"/>
          <w:sz w:val="22"/>
          <w:szCs w:val="22"/>
        </w:rPr>
        <w:t xml:space="preserve">Komentář k zákonu o DPH se blíže vykládá pojmy akreditace a rekvalifikace, které jsou klíčové pro aplikaci tohoto ustanovení. </w:t>
      </w:r>
    </w:p>
    <w:p>
      <w:pPr>
        <w:pStyle w:val="TextBody"/>
        <w:rPr>
          <w:rFonts w:cs="Arial"/>
          <w:sz w:val="22"/>
          <w:szCs w:val="22"/>
        </w:rPr>
      </w:pPr>
      <w:r>
        <w:rPr>
          <w:rFonts w:cs="Arial"/>
          <w:sz w:val="22"/>
          <w:szCs w:val="22"/>
        </w:rPr>
      </w:r>
    </w:p>
    <w:p>
      <w:pPr>
        <w:pStyle w:val="TextBody"/>
        <w:rPr/>
      </w:pPr>
      <w:r>
        <w:rPr>
          <w:rFonts w:cs="Arial"/>
          <w:b w:val="false"/>
          <w:bCs w:val="false"/>
          <w:sz w:val="22"/>
          <w:szCs w:val="22"/>
          <w:u w:val="none"/>
        </w:rPr>
        <w:t xml:space="preserve">K pojmu akreditace komentář závěrem konstatuje, že </w:t>
      </w:r>
      <w:r>
        <w:rPr>
          <w:rFonts w:cs="Arial"/>
          <w:b w:val="false"/>
          <w:bCs w:val="false"/>
          <w:i/>
          <w:iCs/>
          <w:sz w:val="22"/>
          <w:szCs w:val="22"/>
          <w:u w:val="none"/>
        </w:rPr>
        <w:t xml:space="preserve">„Pojem </w:t>
      </w:r>
      <w:r>
        <w:rPr>
          <w:rFonts w:cs="Arial"/>
          <w:b/>
          <w:bCs/>
          <w:i/>
          <w:iCs/>
          <w:sz w:val="22"/>
          <w:szCs w:val="22"/>
          <w:u w:val="none"/>
        </w:rPr>
        <w:t xml:space="preserve">akreditace </w:t>
      </w:r>
      <w:r>
        <w:rPr>
          <w:rFonts w:cs="Arial"/>
          <w:b w:val="false"/>
          <w:bCs w:val="false"/>
          <w:i/>
          <w:iCs/>
          <w:sz w:val="22"/>
          <w:szCs w:val="22"/>
          <w:u w:val="none"/>
        </w:rPr>
        <w:t>je sám o sobě příliš neurčitý, než aby bylo možno jednoznačně určit, které konkrétní akreditace měl zákonodárce na mysli. Lze pouze předpokládat, že jde o akreditace udělené některým správním orgánem.„</w:t>
      </w:r>
    </w:p>
    <w:p>
      <w:pPr>
        <w:pStyle w:val="TextBody"/>
        <w:rPr>
          <w:rFonts w:cs="Arial"/>
          <w:sz w:val="22"/>
          <w:szCs w:val="22"/>
        </w:rPr>
      </w:pPr>
      <w:r>
        <w:rPr>
          <w:rFonts w:cs="Arial"/>
          <w:sz w:val="22"/>
          <w:szCs w:val="22"/>
        </w:rPr>
      </w:r>
    </w:p>
    <w:p>
      <w:pPr>
        <w:pStyle w:val="TextBody"/>
        <w:rPr/>
      </w:pPr>
      <w:r>
        <w:rPr>
          <w:rFonts w:cs="Arial"/>
          <w:b w:val="false"/>
          <w:bCs w:val="false"/>
          <w:sz w:val="22"/>
          <w:szCs w:val="22"/>
          <w:u w:val="none"/>
        </w:rPr>
        <w:t xml:space="preserve">K pojmu rekvalifikace komentář konstatuje, že </w:t>
      </w:r>
      <w:r>
        <w:rPr>
          <w:rFonts w:cs="Arial"/>
          <w:b w:val="false"/>
          <w:bCs w:val="false"/>
          <w:i/>
          <w:iCs/>
          <w:sz w:val="22"/>
          <w:szCs w:val="22"/>
          <w:u w:val="none"/>
        </w:rPr>
        <w:t>„Ani pojem r</w:t>
      </w:r>
      <w:r>
        <w:rPr>
          <w:rFonts w:cs="Arial"/>
          <w:b/>
          <w:bCs/>
          <w:i/>
          <w:iCs/>
          <w:sz w:val="22"/>
          <w:szCs w:val="22"/>
          <w:u w:val="none"/>
        </w:rPr>
        <w:t>ekvalifikace</w:t>
      </w:r>
      <w:r>
        <w:rPr>
          <w:rFonts w:cs="Arial"/>
          <w:b w:val="false"/>
          <w:bCs w:val="false"/>
          <w:i/>
          <w:iCs/>
          <w:sz w:val="22"/>
          <w:szCs w:val="22"/>
          <w:u w:val="none"/>
        </w:rPr>
        <w:t xml:space="preserve"> není zákonem přímo vymezen, což však není v žádném případě na závadu, neboť jej definuje přímo aplikovatelné Nařízení: „Čl. 44 Služby odborného výcviku nebo rekvalifikace poskytované za podmínek uvedených v čl. 132 odst. 1 písm. i) směrnice 2006/112/ES zahrnují výuku přímo související s živností nebo povoláním, jakož i výuku zaměřenou na získání nebo udržování znalostí pro odborné účely. Délka trvání kurzu odborného výcviku nebo rekvalifikace je pro tento účel nepodstatná.“ </w:t>
      </w:r>
    </w:p>
    <w:p>
      <w:pPr>
        <w:pStyle w:val="TextBody"/>
        <w:rPr>
          <w:rFonts w:cs="Arial"/>
          <w:sz w:val="22"/>
          <w:szCs w:val="22"/>
        </w:rPr>
      </w:pPr>
      <w:r>
        <w:rPr>
          <w:rFonts w:cs="Arial"/>
          <w:sz w:val="22"/>
          <w:szCs w:val="22"/>
        </w:rPr>
      </w:r>
    </w:p>
    <w:p>
      <w:pPr>
        <w:pStyle w:val="TextBody"/>
        <w:rPr>
          <w:rFonts w:cs="Arial"/>
          <w:sz w:val="22"/>
          <w:szCs w:val="22"/>
        </w:rPr>
      </w:pPr>
      <w:r>
        <w:rPr>
          <w:rFonts w:cs="Arial"/>
          <w:sz w:val="22"/>
          <w:szCs w:val="22"/>
        </w:rPr>
        <w:t xml:space="preserve">S ohledem na výše uvedený výklad uvedený v komentáři k zákonu o DPH akreditované vzdělávání pracovníků v sociálních službách za účelem udržení jejich kvalifikace podmínky osvobození splňuje. </w:t>
      </w:r>
    </w:p>
    <w:p>
      <w:pPr>
        <w:pStyle w:val="TextBody"/>
        <w:rPr>
          <w:rFonts w:cs="Arial"/>
          <w:sz w:val="22"/>
          <w:szCs w:val="22"/>
        </w:rPr>
      </w:pPr>
      <w:r>
        <w:rPr>
          <w:rFonts w:cs="Arial"/>
          <w:sz w:val="22"/>
          <w:szCs w:val="22"/>
        </w:rPr>
      </w:r>
    </w:p>
    <w:p>
      <w:pPr>
        <w:pStyle w:val="TextBody"/>
        <w:rPr>
          <w:rFonts w:cs="Arial"/>
          <w:sz w:val="22"/>
          <w:szCs w:val="22"/>
        </w:rPr>
      </w:pPr>
      <w:r>
        <w:rPr>
          <w:rFonts w:cs="Arial"/>
          <w:sz w:val="22"/>
          <w:szCs w:val="22"/>
        </w:rPr>
      </w:r>
      <w:r>
        <w:br w:type="page"/>
      </w:r>
    </w:p>
    <w:p>
      <w:pPr>
        <w:pStyle w:val="Heading1"/>
        <w:numPr>
          <w:ilvl w:val="0"/>
          <w:numId w:val="2"/>
        </w:numPr>
        <w:ind w:left="0" w:right="0" w:hanging="0"/>
        <w:rPr/>
      </w:pPr>
      <w:bookmarkStart w:id="56" w:name="__RefHeading___Toc6669_173049253"/>
      <w:bookmarkEnd w:id="56"/>
      <w:r>
        <w:rPr/>
        <w:t>Inventarizace majetku a závazků</w:t>
      </w:r>
    </w:p>
    <w:p>
      <w:pPr>
        <w:pStyle w:val="Normal"/>
        <w:jc w:val="both"/>
        <w:rPr>
          <w:rFonts w:cs="Arial"/>
          <w:sz w:val="22"/>
          <w:szCs w:val="22"/>
        </w:rPr>
      </w:pPr>
      <w:r>
        <w:rPr>
          <w:rFonts w:cs="Arial"/>
          <w:sz w:val="22"/>
          <w:szCs w:val="22"/>
        </w:rPr>
      </w:r>
    </w:p>
    <w:p>
      <w:pPr>
        <w:pStyle w:val="Normal"/>
        <w:jc w:val="both"/>
        <w:rPr>
          <w:rFonts w:cs="Arial"/>
          <w:sz w:val="22"/>
          <w:szCs w:val="22"/>
        </w:rPr>
      </w:pPr>
      <w:r>
        <w:rPr>
          <w:rFonts w:cs="Arial"/>
          <w:sz w:val="22"/>
          <w:szCs w:val="22"/>
        </w:rPr>
        <w:t>Ve smyslu ustanovení § 29 zákona č. 563/1991 Sb. o účetnictví jsou touto směrnicí stanoveny zásady pro provedení inventarizace. Inventarizace se provádí ke dni řádné účetní závěrky, případně k jinému rozvahovému dni, ke kterému se sestavuje mimořádná účetní závěrka.</w:t>
      </w:r>
    </w:p>
    <w:p>
      <w:pPr>
        <w:pStyle w:val="Normal"/>
        <w:jc w:val="both"/>
        <w:rPr>
          <w:rFonts w:cs="Arial"/>
          <w:sz w:val="22"/>
          <w:szCs w:val="22"/>
        </w:rPr>
      </w:pPr>
      <w:r>
        <w:rPr>
          <w:rFonts w:cs="Arial"/>
          <w:sz w:val="22"/>
          <w:szCs w:val="22"/>
        </w:rPr>
      </w:r>
    </w:p>
    <w:p>
      <w:pPr>
        <w:pStyle w:val="Normal"/>
        <w:jc w:val="both"/>
        <w:rPr/>
      </w:pPr>
      <w:r>
        <w:rPr>
          <w:rFonts w:cs="Arial"/>
          <w:sz w:val="22"/>
          <w:szCs w:val="22"/>
        </w:rPr>
        <w:t xml:space="preserve">Inventarizace se provádí u veškerého majetku a závazků (všech analytických účtů včetně časového rozlišení, dohadných položek a účtů vlastního jmění a fondů). U hmotného dlouhodobého majetku, zásob, pokladny a cenin se provádí fyzická inventura, dokladová inventura se provádí u nehmotného a finančního dlouhodobého majetku, závazků a pohledávek a ostatních analytických účtů. </w:t>
      </w:r>
      <w:r>
        <w:rPr>
          <w:rFonts w:cs="Arial"/>
          <w:sz w:val="22"/>
          <w:szCs w:val="22"/>
          <w:lang w:bidi="zxx"/>
        </w:rPr>
        <w:t>Organizace provádí inventarizaci majetku a závazků na základě zvláštního příkazu ředitele organizace vydávaného pro dané účetní období.</w:t>
      </w:r>
    </w:p>
    <w:p>
      <w:pPr>
        <w:pStyle w:val="Normal"/>
        <w:ind w:left="360" w:right="0" w:hanging="0"/>
        <w:jc w:val="both"/>
        <w:rPr>
          <w:rFonts w:cs="Arial"/>
          <w:sz w:val="22"/>
          <w:szCs w:val="22"/>
        </w:rPr>
      </w:pPr>
      <w:r>
        <w:rPr>
          <w:rFonts w:cs="Arial"/>
          <w:sz w:val="22"/>
          <w:szCs w:val="22"/>
        </w:rPr>
      </w:r>
    </w:p>
    <w:p>
      <w:pPr>
        <w:pStyle w:val="Heading3"/>
        <w:numPr>
          <w:ilvl w:val="2"/>
          <w:numId w:val="2"/>
        </w:numPr>
        <w:rPr>
          <w:rFonts w:cs="Arial"/>
          <w:sz w:val="22"/>
          <w:szCs w:val="22"/>
        </w:rPr>
      </w:pPr>
      <w:bookmarkStart w:id="57" w:name="__RefHeading___Toc4035_220351804"/>
      <w:bookmarkEnd w:id="57"/>
      <w:r>
        <w:rPr>
          <w:rFonts w:cs="Arial"/>
          <w:sz w:val="22"/>
          <w:szCs w:val="22"/>
        </w:rPr>
        <w:t>Termíny provádění inventarizací</w:t>
      </w:r>
    </w:p>
    <w:p>
      <w:pPr>
        <w:pStyle w:val="Normal"/>
        <w:jc w:val="both"/>
        <w:rPr>
          <w:rFonts w:cs="Arial"/>
          <w:sz w:val="22"/>
          <w:szCs w:val="22"/>
        </w:rPr>
      </w:pPr>
      <w:r>
        <w:rPr>
          <w:rFonts w:cs="Arial"/>
          <w:sz w:val="22"/>
          <w:szCs w:val="22"/>
        </w:rPr>
        <w:t>- fyzická inventura hotovost</w:t>
      </w:r>
      <w:r>
        <w:rPr>
          <w:rFonts w:cs="Arial"/>
          <w:sz w:val="22"/>
          <w:szCs w:val="22"/>
        </w:rPr>
        <w:t>i a cenin -</w:t>
      </w:r>
      <w:r>
        <w:rPr>
          <w:rFonts w:cs="Arial"/>
          <w:sz w:val="22"/>
          <w:szCs w:val="22"/>
          <w:shd w:fill="auto" w:val="clear"/>
        </w:rPr>
        <w:t xml:space="preserve"> 2x ročně, ke konci k</w:t>
      </w:r>
      <w:r>
        <w:rPr>
          <w:rFonts w:cs="Arial"/>
          <w:sz w:val="22"/>
          <w:szCs w:val="22"/>
        </w:rPr>
        <w:t>aždého</w:t>
      </w:r>
      <w:r>
        <w:rPr>
          <w:rFonts w:cs="Arial"/>
          <w:sz w:val="22"/>
          <w:szCs w:val="22"/>
        </w:rPr>
        <w:t xml:space="preserve"> pololetí účetního období</w:t>
      </w:r>
    </w:p>
    <w:p>
      <w:pPr>
        <w:pStyle w:val="Normal"/>
        <w:jc w:val="both"/>
        <w:rPr>
          <w:rFonts w:cs="Arial"/>
          <w:sz w:val="22"/>
          <w:szCs w:val="22"/>
        </w:rPr>
      </w:pPr>
      <w:r>
        <w:rPr>
          <w:rFonts w:cs="Arial"/>
          <w:sz w:val="22"/>
          <w:szCs w:val="22"/>
        </w:rPr>
        <w:t>- fyzická inventura hmotného majetku - 1x ročně, ke dni účetní závěrky</w:t>
      </w:r>
    </w:p>
    <w:p>
      <w:pPr>
        <w:pStyle w:val="Normal"/>
        <w:jc w:val="both"/>
        <w:rPr>
          <w:rFonts w:cs="Arial"/>
          <w:sz w:val="22"/>
          <w:szCs w:val="22"/>
        </w:rPr>
      </w:pPr>
      <w:r>
        <w:rPr>
          <w:rFonts w:cs="Arial"/>
          <w:sz w:val="22"/>
          <w:szCs w:val="22"/>
        </w:rPr>
        <w:t>- fyzická inventura zásob - 1x  ročně, ke dni účetní závěrky</w:t>
      </w:r>
    </w:p>
    <w:p>
      <w:pPr>
        <w:pStyle w:val="Normal"/>
        <w:jc w:val="left"/>
        <w:rPr>
          <w:rFonts w:cs="Arial"/>
          <w:sz w:val="22"/>
          <w:szCs w:val="22"/>
        </w:rPr>
      </w:pPr>
      <w:r>
        <w:rPr>
          <w:rFonts w:cs="Arial"/>
          <w:sz w:val="22"/>
          <w:szCs w:val="22"/>
        </w:rPr>
        <w:t>- dokladová inventura nehmotného a finančního majetku, závazků a pohledávek a ostatních analytických účtů - 1x ročně, ke dni účetní závěrky</w:t>
      </w:r>
    </w:p>
    <w:p>
      <w:pPr>
        <w:pStyle w:val="Normal"/>
        <w:jc w:val="left"/>
        <w:rPr>
          <w:rFonts w:cs="Arial"/>
          <w:sz w:val="22"/>
          <w:szCs w:val="22"/>
        </w:rPr>
      </w:pPr>
      <w:r>
        <w:rPr>
          <w:rFonts w:cs="Arial"/>
          <w:sz w:val="22"/>
          <w:szCs w:val="22"/>
        </w:rPr>
      </w:r>
    </w:p>
    <w:p>
      <w:pPr>
        <w:pStyle w:val="Heading3"/>
        <w:numPr>
          <w:ilvl w:val="2"/>
          <w:numId w:val="2"/>
        </w:numPr>
        <w:rPr>
          <w:rFonts w:cs="Arial"/>
          <w:sz w:val="22"/>
          <w:szCs w:val="22"/>
        </w:rPr>
      </w:pPr>
      <w:bookmarkStart w:id="58" w:name="__RefHeading___Toc4037_220351804"/>
      <w:bookmarkEnd w:id="58"/>
      <w:r>
        <w:rPr>
          <w:rFonts w:cs="Arial"/>
          <w:sz w:val="22"/>
          <w:szCs w:val="22"/>
        </w:rPr>
        <w:t>Inventuru provádí a za její provedení je odpovědná inventarizační komise, kterou tvoří:</w:t>
      </w:r>
    </w:p>
    <w:p>
      <w:pPr>
        <w:pStyle w:val="Normal"/>
        <w:jc w:val="both"/>
        <w:rPr/>
      </w:pPr>
      <w:r>
        <w:rPr>
          <w:rFonts w:cs="Arial"/>
          <w:sz w:val="22"/>
          <w:szCs w:val="22"/>
          <w:u w:val="none"/>
        </w:rPr>
        <w:t>- ř</w:t>
      </w:r>
      <w:r>
        <w:rPr>
          <w:rFonts w:cs="Arial"/>
          <w:sz w:val="22"/>
          <w:szCs w:val="22"/>
        </w:rPr>
        <w:t xml:space="preserve">editel organizace, </w:t>
      </w:r>
    </w:p>
    <w:p>
      <w:pPr>
        <w:pStyle w:val="Normal"/>
        <w:jc w:val="both"/>
        <w:rPr>
          <w:rFonts w:cs="Arial"/>
          <w:sz w:val="22"/>
          <w:szCs w:val="22"/>
        </w:rPr>
      </w:pPr>
      <w:r>
        <w:rPr>
          <w:rFonts w:cs="Arial"/>
          <w:sz w:val="22"/>
          <w:szCs w:val="22"/>
        </w:rPr>
        <w:t>- finanční manažer,</w:t>
      </w:r>
    </w:p>
    <w:p>
      <w:pPr>
        <w:pStyle w:val="Normal"/>
        <w:jc w:val="both"/>
        <w:rPr>
          <w:rFonts w:cs="Arial"/>
          <w:sz w:val="22"/>
          <w:szCs w:val="22"/>
        </w:rPr>
      </w:pPr>
      <w:r>
        <w:rPr>
          <w:rFonts w:cs="Arial"/>
          <w:sz w:val="22"/>
          <w:szCs w:val="22"/>
        </w:rPr>
        <w:t>- účetní.</w:t>
      </w:r>
    </w:p>
    <w:p>
      <w:pPr>
        <w:pStyle w:val="Normal"/>
        <w:jc w:val="both"/>
        <w:rPr>
          <w:rFonts w:cs="Arial"/>
          <w:sz w:val="22"/>
          <w:szCs w:val="22"/>
        </w:rPr>
      </w:pPr>
      <w:r>
        <w:rPr>
          <w:rFonts w:cs="Arial"/>
          <w:sz w:val="22"/>
          <w:szCs w:val="22"/>
        </w:rPr>
      </w:r>
    </w:p>
    <w:p>
      <w:pPr>
        <w:pStyle w:val="Normal"/>
        <w:jc w:val="both"/>
        <w:rPr>
          <w:rFonts w:cs="Arial"/>
          <w:sz w:val="22"/>
          <w:szCs w:val="22"/>
        </w:rPr>
      </w:pPr>
      <w:r>
        <w:rPr>
          <w:rFonts w:cs="Arial"/>
          <w:sz w:val="22"/>
          <w:szCs w:val="22"/>
        </w:rPr>
        <w:t>Výsledky inventur schvaluje ředitel organizace, který je odpovědný za správnost výsledků provedené inventury.</w:t>
      </w:r>
    </w:p>
    <w:p>
      <w:pPr>
        <w:pStyle w:val="Normal"/>
        <w:ind w:left="360" w:right="0" w:hanging="0"/>
        <w:jc w:val="both"/>
        <w:rPr>
          <w:rFonts w:cs="Arial"/>
          <w:sz w:val="22"/>
          <w:szCs w:val="22"/>
        </w:rPr>
      </w:pPr>
      <w:r>
        <w:rPr>
          <w:rFonts w:cs="Arial"/>
          <w:sz w:val="22"/>
          <w:szCs w:val="22"/>
        </w:rPr>
      </w:r>
    </w:p>
    <w:p>
      <w:pPr>
        <w:pStyle w:val="Normal"/>
        <w:jc w:val="both"/>
        <w:rPr>
          <w:rFonts w:cs="Arial"/>
          <w:sz w:val="22"/>
          <w:szCs w:val="22"/>
        </w:rPr>
      </w:pPr>
      <w:r>
        <w:rPr>
          <w:rFonts w:cs="Arial"/>
          <w:sz w:val="22"/>
          <w:szCs w:val="22"/>
        </w:rPr>
        <w:t>Pro řádné provedení inventur předá účetní inventarizační komisi podklady, kterými se rozumí soupisy majetku včetně účetního ocenění, rozbor zůstatků účtů z účetnictví u pohledávek a závazků, účetní stav peněžních prostředků.  Inventarizační komise provede srovnání zůstatků z účetní evidence a stavů zjištěných inventarizací a po provedení inventur vrátí všechny poskytnuté podklady účetní včetně informací o výsledku inventur, případně zjištěných inventarizačních rozdílech k zaúčtování.</w:t>
      </w:r>
    </w:p>
    <w:p>
      <w:pPr>
        <w:pStyle w:val="Normal"/>
        <w:jc w:val="both"/>
        <w:rPr>
          <w:rFonts w:cs="Arial"/>
          <w:sz w:val="22"/>
          <w:szCs w:val="22"/>
        </w:rPr>
      </w:pPr>
      <w:r>
        <w:rPr>
          <w:rFonts w:cs="Arial"/>
          <w:sz w:val="22"/>
          <w:szCs w:val="22"/>
        </w:rPr>
      </w:r>
    </w:p>
    <w:p>
      <w:pPr>
        <w:pStyle w:val="Heading3"/>
        <w:numPr>
          <w:ilvl w:val="2"/>
          <w:numId w:val="2"/>
        </w:numPr>
        <w:rPr>
          <w:rFonts w:cs="Arial"/>
          <w:sz w:val="22"/>
          <w:szCs w:val="22"/>
        </w:rPr>
      </w:pPr>
      <w:bookmarkStart w:id="59" w:name="__RefHeading___Toc4039_220351804"/>
      <w:bookmarkEnd w:id="59"/>
      <w:r>
        <w:rPr>
          <w:rFonts w:cs="Arial"/>
          <w:sz w:val="22"/>
          <w:szCs w:val="22"/>
        </w:rPr>
        <w:t>Náležitosti inventurních soupisů</w:t>
      </w:r>
    </w:p>
    <w:p>
      <w:pPr>
        <w:pStyle w:val="Normal"/>
        <w:jc w:val="both"/>
        <w:rPr>
          <w:rFonts w:cs="Arial"/>
          <w:sz w:val="22"/>
          <w:szCs w:val="22"/>
        </w:rPr>
      </w:pPr>
      <w:r>
        <w:rPr>
          <w:rFonts w:cs="Arial"/>
          <w:sz w:val="22"/>
          <w:szCs w:val="22"/>
        </w:rPr>
        <w:t>- okamžik zahájení a ukončení inventury</w:t>
      </w:r>
    </w:p>
    <w:p>
      <w:pPr>
        <w:pStyle w:val="Normal"/>
        <w:jc w:val="both"/>
        <w:rPr>
          <w:rFonts w:cs="Arial"/>
          <w:sz w:val="22"/>
          <w:szCs w:val="22"/>
        </w:rPr>
      </w:pPr>
      <w:r>
        <w:rPr>
          <w:rFonts w:cs="Arial"/>
          <w:sz w:val="22"/>
          <w:szCs w:val="22"/>
        </w:rPr>
        <w:t>- datum, ke kterému byla inventura provedena</w:t>
      </w:r>
    </w:p>
    <w:p>
      <w:pPr>
        <w:pStyle w:val="Normal"/>
        <w:jc w:val="both"/>
        <w:rPr>
          <w:rFonts w:cs="Arial"/>
          <w:sz w:val="22"/>
          <w:szCs w:val="22"/>
        </w:rPr>
      </w:pPr>
      <w:r>
        <w:rPr>
          <w:rFonts w:cs="Arial"/>
          <w:sz w:val="22"/>
          <w:szCs w:val="22"/>
        </w:rPr>
        <w:t>- způsob zjišťování skutečných stavů</w:t>
      </w:r>
    </w:p>
    <w:p>
      <w:pPr>
        <w:pStyle w:val="Normal"/>
        <w:jc w:val="both"/>
        <w:rPr>
          <w:rFonts w:cs="Arial"/>
          <w:sz w:val="22"/>
          <w:szCs w:val="22"/>
        </w:rPr>
      </w:pPr>
      <w:r>
        <w:rPr>
          <w:rFonts w:cs="Arial"/>
          <w:sz w:val="22"/>
          <w:szCs w:val="22"/>
        </w:rPr>
        <w:t>- ocenění majetku a závazků k okamžiku ukončení inventury</w:t>
      </w:r>
    </w:p>
    <w:p>
      <w:pPr>
        <w:pStyle w:val="Normal"/>
        <w:jc w:val="both"/>
        <w:rPr>
          <w:rFonts w:cs="Arial"/>
          <w:sz w:val="22"/>
          <w:szCs w:val="22"/>
        </w:rPr>
      </w:pPr>
      <w:r>
        <w:rPr>
          <w:rFonts w:cs="Arial"/>
          <w:sz w:val="22"/>
          <w:szCs w:val="22"/>
        </w:rPr>
        <w:t>- rozpis položek tvořících každý analytický účet, stav zjištěný inventurou a jejich porovnání</w:t>
      </w:r>
    </w:p>
    <w:p>
      <w:pPr>
        <w:pStyle w:val="Normal"/>
        <w:jc w:val="both"/>
        <w:rPr>
          <w:rFonts w:cs="Arial"/>
          <w:sz w:val="22"/>
          <w:szCs w:val="22"/>
        </w:rPr>
      </w:pPr>
      <w:r>
        <w:rPr>
          <w:rFonts w:cs="Arial"/>
          <w:sz w:val="22"/>
          <w:szCs w:val="22"/>
        </w:rPr>
        <w:t>- vyčíslení inventarizačních rozdílů</w:t>
      </w:r>
    </w:p>
    <w:p>
      <w:pPr>
        <w:pStyle w:val="Normal"/>
        <w:jc w:val="both"/>
        <w:rPr>
          <w:rFonts w:cs="Arial"/>
          <w:sz w:val="22"/>
          <w:szCs w:val="22"/>
        </w:rPr>
      </w:pPr>
      <w:r>
        <w:rPr>
          <w:rFonts w:cs="Arial"/>
          <w:sz w:val="22"/>
          <w:szCs w:val="22"/>
        </w:rPr>
        <w:t>- podpisy osob odpovědné za zjištění skutečností</w:t>
      </w:r>
    </w:p>
    <w:p>
      <w:pPr>
        <w:pStyle w:val="Normal"/>
        <w:jc w:val="both"/>
        <w:rPr>
          <w:rFonts w:cs="Arial"/>
          <w:sz w:val="22"/>
          <w:szCs w:val="22"/>
        </w:rPr>
      </w:pPr>
      <w:r>
        <w:rPr>
          <w:rFonts w:cs="Arial"/>
          <w:sz w:val="22"/>
          <w:szCs w:val="22"/>
        </w:rPr>
        <w:t>- podpis osoby odpovědné za provedení inventarizace (ředitel organizace).</w:t>
      </w:r>
    </w:p>
    <w:p>
      <w:pPr>
        <w:pStyle w:val="Normal"/>
        <w:jc w:val="both"/>
        <w:rPr>
          <w:rFonts w:cs="Arial"/>
          <w:sz w:val="22"/>
          <w:szCs w:val="22"/>
        </w:rPr>
      </w:pPr>
      <w:r>
        <w:rPr>
          <w:rFonts w:cs="Arial"/>
          <w:sz w:val="22"/>
          <w:szCs w:val="22"/>
        </w:rPr>
      </w:r>
    </w:p>
    <w:p>
      <w:pPr>
        <w:pStyle w:val="Normal"/>
        <w:jc w:val="both"/>
        <w:rPr>
          <w:rFonts w:eastAsia="Arial" w:cs="Arial"/>
          <w:b w:val="false"/>
          <w:b w:val="false"/>
          <w:bCs w:val="false"/>
          <w:sz w:val="22"/>
          <w:szCs w:val="22"/>
        </w:rPr>
      </w:pPr>
      <w:r>
        <w:rPr>
          <w:rFonts w:eastAsia="Arial" w:cs="Arial"/>
          <w:b w:val="false"/>
          <w:bCs w:val="false"/>
          <w:sz w:val="22"/>
          <w:szCs w:val="22"/>
        </w:rPr>
        <w:t>Ve smyslu ustanovení § 30 zákona č. 563/1991 Sb. o účetnictví, ve znění pozdějších předpisů se inventarizační rozdíly vyúčtují do účetního období, za které se inventarizací ověřuje stav majetku a závazků.</w:t>
      </w:r>
    </w:p>
    <w:p>
      <w:pPr>
        <w:pStyle w:val="Heading5"/>
        <w:widowControl/>
        <w:numPr>
          <w:ilvl w:val="0"/>
          <w:numId w:val="0"/>
        </w:numPr>
        <w:suppressAutoHyphens w:val="true"/>
        <w:ind w:left="0" w:right="0" w:hanging="0"/>
        <w:jc w:val="both"/>
        <w:rPr>
          <w:rFonts w:ascii="Arial" w:hAnsi="Arial" w:cs="Arial"/>
          <w:b w:val="false"/>
          <w:b w:val="false"/>
          <w:bCs w:val="false"/>
          <w:sz w:val="20"/>
          <w:szCs w:val="20"/>
          <w:u w:val="none"/>
        </w:rPr>
      </w:pPr>
      <w:r>
        <w:rPr>
          <w:rFonts w:cs="Arial"/>
          <w:b w:val="false"/>
          <w:bCs w:val="false"/>
          <w:sz w:val="20"/>
          <w:szCs w:val="20"/>
          <w:u w:val="none"/>
        </w:rPr>
      </w:r>
      <w:r>
        <w:br w:type="page"/>
      </w:r>
    </w:p>
    <w:p>
      <w:pPr>
        <w:pStyle w:val="Heading1"/>
        <w:numPr>
          <w:ilvl w:val="0"/>
          <w:numId w:val="2"/>
        </w:numPr>
        <w:ind w:left="0" w:right="0" w:hanging="0"/>
        <w:rPr/>
      </w:pPr>
      <w:bookmarkStart w:id="60" w:name="__RefHeading___Toc7644_573671802"/>
      <w:bookmarkEnd w:id="60"/>
      <w:r>
        <w:rPr/>
        <w:t>Účetní závěrka</w:t>
      </w:r>
    </w:p>
    <w:p>
      <w:pPr>
        <w:pStyle w:val="Normal"/>
        <w:jc w:val="both"/>
        <w:rPr>
          <w:rFonts w:ascii="Arial" w:hAnsi="Arial" w:cs="Arial"/>
          <w:lang w:bidi="zxx"/>
        </w:rPr>
      </w:pPr>
      <w:r>
        <w:rPr>
          <w:rFonts w:cs="Arial"/>
          <w:lang w:bidi="zxx"/>
        </w:rPr>
      </w:r>
    </w:p>
    <w:p>
      <w:pPr>
        <w:pStyle w:val="Normal"/>
        <w:jc w:val="both"/>
        <w:rPr>
          <w:rFonts w:ascii="Arial" w:hAnsi="Arial" w:cs="Arial"/>
          <w:lang w:bidi="zxx"/>
        </w:rPr>
      </w:pPr>
      <w:r>
        <w:rPr>
          <w:rFonts w:cs="Arial"/>
          <w:lang w:bidi="zxx"/>
        </w:rPr>
        <w:t>Před koncem každého účetního období je zpracován konkrétní harmonogram účetní závěrky, který obsahuje termíny a odpovědnosti pro následující oblasti.</w:t>
      </w:r>
    </w:p>
    <w:p>
      <w:pPr>
        <w:pStyle w:val="Normal"/>
        <w:jc w:val="both"/>
        <w:rPr/>
      </w:pPr>
      <w:r>
        <w:rPr/>
      </w:r>
    </w:p>
    <w:p>
      <w:pPr>
        <w:pStyle w:val="Heading2"/>
        <w:numPr>
          <w:ilvl w:val="1"/>
          <w:numId w:val="2"/>
        </w:numPr>
        <w:rPr/>
      </w:pPr>
      <w:bookmarkStart w:id="61" w:name="__RefHeading___Toc4041_220351804"/>
      <w:bookmarkEnd w:id="61"/>
      <w:r>
        <w:rPr/>
        <w:t>Účetní uzávěrka</w:t>
      </w:r>
    </w:p>
    <w:p>
      <w:pPr>
        <w:pStyle w:val="Normal"/>
        <w:rPr>
          <w:rFonts w:cs="Arial"/>
        </w:rPr>
      </w:pPr>
      <w:r>
        <w:rPr>
          <w:rFonts w:cs="Arial"/>
        </w:rPr>
        <w:t>Kroky prováděné v rámci účetní uzávěrky:</w:t>
      </w:r>
    </w:p>
    <w:p>
      <w:pPr>
        <w:pStyle w:val="Normal"/>
        <w:numPr>
          <w:ilvl w:val="0"/>
          <w:numId w:val="13"/>
        </w:numPr>
        <w:tabs>
          <w:tab w:val="clear" w:pos="708"/>
          <w:tab w:val="left" w:pos="0" w:leader="none"/>
        </w:tabs>
        <w:jc w:val="both"/>
        <w:rPr>
          <w:rFonts w:ascii="Arial" w:hAnsi="Arial" w:cs="Arial"/>
          <w:lang w:bidi="zxx"/>
        </w:rPr>
      </w:pPr>
      <w:r>
        <w:rPr>
          <w:rFonts w:cs="Arial"/>
          <w:lang w:bidi="zxx"/>
        </w:rPr>
        <w:t>zajistí inventarizaci majetku a závazků</w:t>
      </w:r>
    </w:p>
    <w:p>
      <w:pPr>
        <w:pStyle w:val="Normal"/>
        <w:numPr>
          <w:ilvl w:val="0"/>
          <w:numId w:val="13"/>
        </w:numPr>
        <w:tabs>
          <w:tab w:val="clear" w:pos="708"/>
          <w:tab w:val="left" w:pos="0" w:leader="none"/>
        </w:tabs>
        <w:jc w:val="both"/>
        <w:rPr>
          <w:rFonts w:ascii="Arial" w:hAnsi="Arial" w:cs="Arial"/>
          <w:lang w:bidi="zxx"/>
        </w:rPr>
      </w:pPr>
      <w:r>
        <w:rPr>
          <w:rFonts w:cs="Arial"/>
          <w:lang w:bidi="zxx"/>
        </w:rPr>
        <w:t>zajistí zaúčtování všech případů do období, s nímž souvisejí</w:t>
      </w:r>
    </w:p>
    <w:p>
      <w:pPr>
        <w:pStyle w:val="Normal"/>
        <w:numPr>
          <w:ilvl w:val="0"/>
          <w:numId w:val="13"/>
        </w:numPr>
        <w:tabs>
          <w:tab w:val="clear" w:pos="708"/>
          <w:tab w:val="left" w:pos="0" w:leader="none"/>
        </w:tabs>
        <w:jc w:val="both"/>
        <w:rPr>
          <w:rFonts w:ascii="Arial" w:hAnsi="Arial" w:cs="Arial"/>
          <w:lang w:bidi="zxx"/>
        </w:rPr>
      </w:pPr>
      <w:r>
        <w:rPr>
          <w:rFonts w:cs="Arial"/>
          <w:lang w:bidi="zxx"/>
        </w:rPr>
        <w:t>zajistí zaúčtování opravných položek, dohadných položek apod.</w:t>
      </w:r>
    </w:p>
    <w:p>
      <w:pPr>
        <w:pStyle w:val="Normal"/>
        <w:numPr>
          <w:ilvl w:val="0"/>
          <w:numId w:val="13"/>
        </w:numPr>
        <w:tabs>
          <w:tab w:val="clear" w:pos="708"/>
          <w:tab w:val="left" w:pos="0" w:leader="none"/>
        </w:tabs>
        <w:jc w:val="both"/>
        <w:rPr>
          <w:rFonts w:ascii="Arial" w:hAnsi="Arial" w:cs="Arial"/>
          <w:lang w:bidi="zxx"/>
        </w:rPr>
      </w:pPr>
      <w:r>
        <w:rPr>
          <w:rFonts w:cs="Arial"/>
          <w:lang w:bidi="zxx"/>
        </w:rPr>
        <w:t>provede kontrolu zaúčtování významných účetních operací</w:t>
      </w:r>
    </w:p>
    <w:p>
      <w:pPr>
        <w:pStyle w:val="Normal"/>
        <w:numPr>
          <w:ilvl w:val="0"/>
          <w:numId w:val="13"/>
        </w:numPr>
        <w:tabs>
          <w:tab w:val="clear" w:pos="708"/>
          <w:tab w:val="left" w:pos="0" w:leader="none"/>
        </w:tabs>
        <w:jc w:val="both"/>
        <w:rPr>
          <w:rFonts w:ascii="Arial" w:hAnsi="Arial" w:cs="Arial"/>
          <w:lang w:bidi="zxx"/>
        </w:rPr>
      </w:pPr>
      <w:r>
        <w:rPr>
          <w:rFonts w:cs="Arial"/>
          <w:lang w:bidi="zxx"/>
        </w:rPr>
        <w:t>provede výpočet a zaúčtování daně z příjmu</w:t>
      </w:r>
    </w:p>
    <w:p>
      <w:pPr>
        <w:pStyle w:val="Normal"/>
        <w:numPr>
          <w:ilvl w:val="0"/>
          <w:numId w:val="13"/>
        </w:numPr>
        <w:tabs>
          <w:tab w:val="clear" w:pos="708"/>
          <w:tab w:val="left" w:pos="0" w:leader="none"/>
        </w:tabs>
        <w:jc w:val="both"/>
        <w:rPr>
          <w:rFonts w:ascii="Arial" w:hAnsi="Arial" w:cs="Arial"/>
          <w:lang w:bidi="zxx"/>
        </w:rPr>
      </w:pPr>
      <w:r>
        <w:rPr>
          <w:rFonts w:cs="Arial"/>
          <w:lang w:bidi="zxx"/>
        </w:rPr>
        <w:t xml:space="preserve">uzavře účetní knihy v souladu s českými účetními standardy   </w:t>
      </w:r>
    </w:p>
    <w:p>
      <w:pPr>
        <w:pStyle w:val="Normal"/>
        <w:jc w:val="both"/>
        <w:rPr>
          <w:rFonts w:ascii="Arial" w:hAnsi="Arial" w:cs="Arial"/>
          <w:b w:val="false"/>
          <w:b w:val="false"/>
          <w:bCs w:val="false"/>
        </w:rPr>
      </w:pPr>
      <w:r>
        <w:rPr>
          <w:rFonts w:cs="Arial"/>
          <w:b w:val="false"/>
          <w:bCs w:val="false"/>
        </w:rPr>
      </w:r>
    </w:p>
    <w:p>
      <w:pPr>
        <w:pStyle w:val="Heading2"/>
        <w:numPr>
          <w:ilvl w:val="1"/>
          <w:numId w:val="2"/>
        </w:numPr>
        <w:rPr/>
      </w:pPr>
      <w:bookmarkStart w:id="62" w:name="__RefHeading___Toc4043_220351804"/>
      <w:bookmarkEnd w:id="62"/>
      <w:r>
        <w:rPr/>
        <w:t>Sestavení účetní závěrky, přiznání k dani z příjmů a výroční zprávy</w:t>
      </w:r>
    </w:p>
    <w:p>
      <w:pPr>
        <w:pStyle w:val="Normal"/>
        <w:rPr/>
      </w:pPr>
      <w:r>
        <w:rPr>
          <w:rFonts w:cs="Arial"/>
          <w:b w:val="false"/>
          <w:bCs w:val="false"/>
          <w:u w:val="none"/>
        </w:rPr>
        <w:t>Účetní závěrku sestaví hlavní účetní, a</w:t>
      </w:r>
      <w:r>
        <w:rPr>
          <w:rFonts w:cs="Arial"/>
          <w:u w:val="none"/>
        </w:rPr>
        <w:t xml:space="preserve"> to do konce března následujícího účetního období, v tomto rozsahu:</w:t>
      </w:r>
    </w:p>
    <w:p>
      <w:pPr>
        <w:pStyle w:val="Normal"/>
        <w:jc w:val="both"/>
        <w:rPr>
          <w:rFonts w:ascii="Arial" w:hAnsi="Arial" w:cs="Arial"/>
        </w:rPr>
      </w:pPr>
      <w:r>
        <w:rPr>
          <w:rFonts w:cs="Arial"/>
        </w:rPr>
        <w:t>1. Výkaz zisků a ztrát</w:t>
      </w:r>
    </w:p>
    <w:p>
      <w:pPr>
        <w:pStyle w:val="Normal"/>
        <w:jc w:val="both"/>
        <w:rPr>
          <w:rFonts w:ascii="Arial" w:hAnsi="Arial" w:cs="Arial"/>
        </w:rPr>
      </w:pPr>
      <w:r>
        <w:rPr>
          <w:rFonts w:cs="Arial"/>
        </w:rPr>
        <w:t>2. Rozvaha</w:t>
      </w:r>
    </w:p>
    <w:p>
      <w:pPr>
        <w:pStyle w:val="Normal"/>
        <w:jc w:val="both"/>
        <w:rPr/>
      </w:pPr>
      <w:r>
        <w:rPr>
          <w:rFonts w:cs="Arial"/>
        </w:rPr>
        <w:t xml:space="preserve">3. </w:t>
      </w:r>
      <w:r>
        <w:rPr>
          <w:rFonts w:cs="Arial"/>
          <w:lang w:bidi="zxx"/>
        </w:rPr>
        <w:t>Příloha k účetní závěrce</w:t>
      </w:r>
    </w:p>
    <w:p>
      <w:pPr>
        <w:pStyle w:val="Normal"/>
        <w:jc w:val="both"/>
        <w:rPr>
          <w:rFonts w:ascii="Arial" w:hAnsi="Arial" w:cs="Arial"/>
        </w:rPr>
      </w:pPr>
      <w:r>
        <w:rPr>
          <w:rFonts w:cs="Arial"/>
        </w:rPr>
      </w:r>
    </w:p>
    <w:p>
      <w:pPr>
        <w:pStyle w:val="Normal"/>
        <w:jc w:val="both"/>
        <w:rPr>
          <w:rFonts w:ascii="Arial" w:hAnsi="Arial" w:cs="Arial"/>
          <w:b w:val="false"/>
          <w:b w:val="false"/>
          <w:bCs w:val="false"/>
          <w:lang w:bidi="zxx"/>
        </w:rPr>
      </w:pPr>
      <w:r>
        <w:rPr>
          <w:rFonts w:cs="Arial"/>
          <w:b w:val="false"/>
          <w:bCs w:val="false"/>
          <w:lang w:bidi="zxx"/>
        </w:rPr>
        <w:t>Hlavní účetní dále zodpovídá za sestavení daňového přiznání.</w:t>
      </w:r>
    </w:p>
    <w:p>
      <w:pPr>
        <w:pStyle w:val="Normal"/>
        <w:jc w:val="both"/>
        <w:rPr>
          <w:rFonts w:ascii="Arial" w:hAnsi="Arial" w:cs="Arial"/>
          <w:b w:val="false"/>
          <w:b w:val="false"/>
          <w:bCs w:val="false"/>
          <w:lang w:bidi="zxx"/>
        </w:rPr>
      </w:pPr>
      <w:r>
        <w:rPr>
          <w:rFonts w:cs="Arial"/>
          <w:b w:val="false"/>
          <w:bCs w:val="false"/>
          <w:lang w:bidi="zxx"/>
        </w:rPr>
      </w:r>
    </w:p>
    <w:p>
      <w:pPr>
        <w:pStyle w:val="Normal"/>
        <w:jc w:val="both"/>
        <w:rPr>
          <w:rFonts w:ascii="Arial" w:hAnsi="Arial" w:cs="Arial"/>
          <w:b w:val="false"/>
          <w:b w:val="false"/>
          <w:bCs w:val="false"/>
          <w:lang w:bidi="zxx"/>
        </w:rPr>
      </w:pPr>
      <w:r>
        <w:rPr>
          <w:rFonts w:cs="Arial"/>
          <w:b w:val="false"/>
          <w:bCs w:val="false"/>
          <w:lang w:bidi="zxx"/>
        </w:rPr>
        <w:t>Za sestavení výroční zprávy a její soulad s účetní závěrkou odpovídá ředitel organizace.</w:t>
      </w:r>
    </w:p>
    <w:p>
      <w:pPr>
        <w:pStyle w:val="Normal"/>
        <w:jc w:val="both"/>
        <w:rPr/>
      </w:pPr>
      <w:r>
        <w:rPr/>
      </w:r>
    </w:p>
    <w:p>
      <w:pPr>
        <w:pStyle w:val="Heading2"/>
        <w:numPr>
          <w:ilvl w:val="1"/>
          <w:numId w:val="2"/>
        </w:numPr>
        <w:rPr/>
      </w:pPr>
      <w:bookmarkStart w:id="63" w:name="__RefHeading___Toc4045_220351804"/>
      <w:bookmarkEnd w:id="63"/>
      <w:r>
        <w:rPr/>
        <w:t>Zajištění bilanční kontinuity</w:t>
      </w:r>
    </w:p>
    <w:p>
      <w:pPr>
        <w:pStyle w:val="Normal"/>
        <w:jc w:val="both"/>
        <w:rPr>
          <w:rFonts w:ascii="Arial" w:hAnsi="Arial" w:cs="Arial"/>
        </w:rPr>
      </w:pPr>
      <w:r>
        <w:rPr>
          <w:rFonts w:cs="Arial"/>
        </w:rPr>
        <w:t>Hlavní účetní organizace zajistí převod konečných stavů rozvahových účtů vykázaných na účtu 962 - Konečný účet rozvážný do počátečních stavů v následujícím účetním období otevřením účtů hlavní knihy prostřednictvím účtu 961 - Počáteční účet rozvážný.</w:t>
      </w:r>
    </w:p>
    <w:p>
      <w:pPr>
        <w:pStyle w:val="Normal"/>
        <w:jc w:val="both"/>
        <w:rPr>
          <w:rFonts w:ascii="Arial" w:hAnsi="Arial" w:cs="Arial"/>
        </w:rPr>
      </w:pPr>
      <w:r>
        <w:rPr>
          <w:rFonts w:cs="Arial"/>
        </w:rPr>
      </w:r>
    </w:p>
    <w:p>
      <w:pPr>
        <w:pStyle w:val="Heading2"/>
        <w:numPr>
          <w:ilvl w:val="1"/>
          <w:numId w:val="2"/>
        </w:numPr>
        <w:rPr/>
      </w:pPr>
      <w:bookmarkStart w:id="64" w:name="__RefHeading___Toc4047_220351804"/>
      <w:bookmarkEnd w:id="64"/>
      <w:r>
        <w:rPr/>
        <w:t>Schválení a zveřejnění účetní závěrky</w:t>
      </w:r>
    </w:p>
    <w:p>
      <w:pPr>
        <w:pStyle w:val="Normal"/>
        <w:jc w:val="both"/>
        <w:rPr>
          <w:rFonts w:ascii="Arial" w:hAnsi="Arial" w:cs="Arial"/>
        </w:rPr>
      </w:pPr>
      <w:r>
        <w:rPr>
          <w:rFonts w:cs="Arial"/>
        </w:rPr>
        <w:t>Správní rada jako nejvyšší orgán je povinna každoročně schválit účetní závěrku, výroční zprávu a výsledek hospodaření minulého účetního období a rozhodne o naložení s ním. Toto rozhodnutí bude podkladem pro zaúčtování převodu výsledku hospodaření minulého roku na konkrétní analytický účet.</w:t>
      </w:r>
    </w:p>
    <w:p>
      <w:pPr>
        <w:pStyle w:val="Normal"/>
        <w:jc w:val="both"/>
        <w:rPr>
          <w:rFonts w:ascii="Arial" w:hAnsi="Arial" w:cs="Arial"/>
        </w:rPr>
      </w:pPr>
      <w:r>
        <w:rPr>
          <w:rFonts w:cs="Arial"/>
        </w:rPr>
      </w:r>
    </w:p>
    <w:p>
      <w:pPr>
        <w:pStyle w:val="Normal"/>
        <w:jc w:val="both"/>
        <w:rPr>
          <w:rFonts w:ascii="Arial" w:hAnsi="Arial" w:cs="Arial"/>
        </w:rPr>
      </w:pPr>
      <w:r>
        <w:rPr>
          <w:rFonts w:cs="Arial"/>
        </w:rPr>
        <w:t>Za uložení účetní závěrky a výroční zprávy do sbírky listin odpovídá hlavní účetní.</w:t>
      </w:r>
    </w:p>
    <w:p>
      <w:pPr>
        <w:pStyle w:val="Normal"/>
        <w:jc w:val="both"/>
        <w:rPr>
          <w:rFonts w:ascii="Arial" w:hAnsi="Arial" w:eastAsia="Arial" w:cs="Arial"/>
          <w:sz w:val="24"/>
          <w:szCs w:val="24"/>
        </w:rPr>
      </w:pPr>
      <w:r>
        <w:rPr>
          <w:rFonts w:eastAsia="Arial" w:cs="Arial"/>
          <w:sz w:val="24"/>
          <w:szCs w:val="24"/>
        </w:rPr>
        <w:t xml:space="preserve">    </w:t>
      </w:r>
    </w:p>
    <w:p>
      <w:pPr>
        <w:pStyle w:val="Normal"/>
        <w:jc w:val="both"/>
        <w:rPr>
          <w:rFonts w:ascii="Arial" w:hAnsi="Arial" w:eastAsia="Arial" w:cs="Arial"/>
          <w:sz w:val="24"/>
          <w:szCs w:val="24"/>
        </w:rPr>
      </w:pPr>
      <w:r>
        <w:rPr>
          <w:rFonts w:eastAsia="Arial" w:cs="Arial"/>
          <w:sz w:val="24"/>
          <w:szCs w:val="24"/>
        </w:rPr>
      </w:r>
    </w:p>
    <w:p>
      <w:pPr>
        <w:pStyle w:val="Heading1"/>
        <w:widowControl/>
        <w:numPr>
          <w:ilvl w:val="0"/>
          <w:numId w:val="0"/>
        </w:numPr>
        <w:suppressAutoHyphens w:val="true"/>
        <w:overflowPunct w:val="false"/>
        <w:ind w:left="0" w:right="0" w:hanging="0"/>
        <w:jc w:val="left"/>
        <w:rPr>
          <w:rFonts w:ascii="Arial" w:hAnsi="Arial" w:eastAsia="Arial" w:cs="Arial"/>
          <w:sz w:val="24"/>
          <w:szCs w:val="24"/>
        </w:rPr>
      </w:pPr>
      <w:r>
        <w:rPr>
          <w:rFonts w:eastAsia="Arial" w:cs="Arial"/>
          <w:sz w:val="24"/>
          <w:szCs w:val="24"/>
        </w:rPr>
      </w:r>
      <w:r>
        <w:br w:type="page"/>
      </w:r>
    </w:p>
    <w:p>
      <w:pPr>
        <w:pStyle w:val="Heading1"/>
        <w:numPr>
          <w:ilvl w:val="0"/>
          <w:numId w:val="2"/>
        </w:numPr>
        <w:ind w:left="0" w:right="0" w:hanging="0"/>
        <w:rPr/>
      </w:pPr>
      <w:bookmarkStart w:id="65" w:name="__RefHeading___Toc4049_220351804"/>
      <w:bookmarkEnd w:id="65"/>
      <w:r>
        <w:rPr/>
        <w:t>Skartace a archivace</w:t>
      </w:r>
    </w:p>
    <w:p>
      <w:pPr>
        <w:pStyle w:val="Normal"/>
        <w:widowControl/>
        <w:tabs>
          <w:tab w:val="clear" w:pos="708"/>
          <w:tab w:val="left" w:pos="0" w:leader="none"/>
        </w:tabs>
        <w:suppressAutoHyphens w:val="true"/>
        <w:overflowPunct w:val="false"/>
        <w:ind w:left="0" w:right="0" w:hanging="0"/>
        <w:jc w:val="left"/>
        <w:rPr/>
      </w:pPr>
      <w:r>
        <w:rPr/>
      </w:r>
    </w:p>
    <w:p>
      <w:pPr>
        <w:pStyle w:val="Heading2"/>
        <w:numPr>
          <w:ilvl w:val="1"/>
          <w:numId w:val="2"/>
        </w:numPr>
        <w:rPr/>
      </w:pPr>
      <w:bookmarkStart w:id="66" w:name="__RefHeading___Toc4051_220351804"/>
      <w:bookmarkEnd w:id="66"/>
      <w:r>
        <w:rPr/>
        <w:t>Účetní doklady</w:t>
      </w:r>
    </w:p>
    <w:p>
      <w:pPr>
        <w:pStyle w:val="Normal"/>
        <w:suppressAutoHyphens w:val="true"/>
        <w:jc w:val="both"/>
        <w:rPr>
          <w:rFonts w:ascii="Arial" w:hAnsi="Arial" w:cs="Arial"/>
        </w:rPr>
      </w:pPr>
      <w:r>
        <w:rPr>
          <w:rFonts w:cs="Arial"/>
        </w:rPr>
        <w:t xml:space="preserve">Účetní písemnosti ukládá organizace odděleně od ostatních písemností do spisovny a uschovává je po níže stanovenou dobu. Před uložením do spisovny musí být písemnosti  uspořádány a zabezpečeny proti ztrátě, zničení nebo  poškození. Za správné uložení do spisovny odpovídá ředitel organizace. </w:t>
      </w:r>
    </w:p>
    <w:p>
      <w:pPr>
        <w:pStyle w:val="Normal"/>
        <w:suppressAutoHyphens w:val="true"/>
        <w:jc w:val="both"/>
        <w:rPr>
          <w:rFonts w:ascii="Arial" w:hAnsi="Arial" w:cs="Arial"/>
        </w:rPr>
      </w:pPr>
      <w:r>
        <w:rPr>
          <w:rFonts w:cs="Arial"/>
        </w:rPr>
        <w:t xml:space="preserve">Spisovna se nachází v sídle organizace, kde se archivují všechny účetní doklady. Doklady jsou roztříděny podle příslušného roku a uchovány v papírových boxem v uzamykatelné skříni. Všechny boxy jsou popsány – názvem, časovým obdobím. </w:t>
      </w:r>
    </w:p>
    <w:p>
      <w:pPr>
        <w:pStyle w:val="Normal"/>
        <w:suppressAutoHyphens w:val="true"/>
        <w:jc w:val="both"/>
        <w:rPr>
          <w:rFonts w:ascii="Arial" w:hAnsi="Arial" w:cs="Arial"/>
          <w:i/>
          <w:i/>
        </w:rPr>
      </w:pPr>
      <w:r>
        <w:rPr>
          <w:rFonts w:cs="Arial"/>
          <w:i/>
        </w:rPr>
      </w:r>
    </w:p>
    <w:p>
      <w:pPr>
        <w:pStyle w:val="Normal"/>
        <w:suppressAutoHyphens w:val="true"/>
        <w:jc w:val="both"/>
        <w:rPr>
          <w:rFonts w:ascii="Arial" w:hAnsi="Arial" w:cs="Arial"/>
        </w:rPr>
      </w:pPr>
      <w:r>
        <w:rPr>
          <w:rFonts w:cs="Arial"/>
        </w:rPr>
        <w:t>V souladu s § 31 zákona č. 563/91 Sb. o účetnictví ve znění pozdějších předpisů se  účetní záznamy uschovávají takto:</w:t>
      </w:r>
    </w:p>
    <w:p>
      <w:pPr>
        <w:pStyle w:val="Normal"/>
        <w:suppressAutoHyphens w:val="true"/>
        <w:jc w:val="both"/>
        <w:rPr>
          <w:rFonts w:ascii="Arial" w:hAnsi="Arial" w:cs="Arial"/>
        </w:rPr>
      </w:pPr>
      <w:r>
        <w:rPr>
          <w:rFonts w:cs="Arial"/>
        </w:rPr>
      </w:r>
    </w:p>
    <w:p>
      <w:pPr>
        <w:pStyle w:val="Normal"/>
        <w:numPr>
          <w:ilvl w:val="0"/>
          <w:numId w:val="14"/>
        </w:numPr>
        <w:suppressAutoHyphens w:val="true"/>
        <w:rPr>
          <w:rFonts w:ascii="Arial" w:hAnsi="Arial" w:cs="Arial"/>
        </w:rPr>
      </w:pPr>
      <w:r>
        <w:rPr>
          <w:rFonts w:cs="Arial"/>
        </w:rPr>
        <w:t>účetní závěrka</w:t>
        <w:tab/>
        <w:tab/>
        <w:tab/>
        <w:t>10 let</w:t>
        <w:tab/>
        <w:t>následujících po roce, kterého se týkají</w:t>
      </w:r>
    </w:p>
    <w:p>
      <w:pPr>
        <w:pStyle w:val="Normal"/>
        <w:numPr>
          <w:ilvl w:val="0"/>
          <w:numId w:val="14"/>
        </w:numPr>
        <w:suppressAutoHyphens w:val="true"/>
        <w:rPr>
          <w:rFonts w:ascii="Arial" w:hAnsi="Arial" w:cs="Arial"/>
        </w:rPr>
      </w:pPr>
      <w:r>
        <w:rPr>
          <w:rFonts w:cs="Arial"/>
        </w:rPr>
        <w:t>výroční zpráva</w:t>
        <w:tab/>
        <w:t xml:space="preserve">          </w:t>
        <w:tab/>
        <w:tab/>
        <w:t>10 let</w:t>
        <w:tab/>
        <w:t>následujících po roce, kterého se týkají</w:t>
      </w:r>
    </w:p>
    <w:p>
      <w:pPr>
        <w:pStyle w:val="Normal"/>
        <w:numPr>
          <w:ilvl w:val="0"/>
          <w:numId w:val="14"/>
        </w:numPr>
        <w:suppressAutoHyphens w:val="true"/>
        <w:rPr>
          <w:rFonts w:ascii="Arial" w:hAnsi="Arial" w:cs="Arial"/>
        </w:rPr>
      </w:pPr>
      <w:r>
        <w:rPr>
          <w:rFonts w:cs="Arial"/>
        </w:rPr>
        <w:t>mzdové listy a obdobné</w:t>
        <w:tab/>
        <w:tab/>
        <w:t>30 let</w:t>
        <w:tab/>
        <w:t xml:space="preserve">následujících po roce, kterého se týkají </w:t>
      </w:r>
    </w:p>
    <w:p>
      <w:pPr>
        <w:pStyle w:val="Normal"/>
        <w:widowControl/>
        <w:numPr>
          <w:ilvl w:val="0"/>
          <w:numId w:val="14"/>
        </w:numPr>
        <w:tabs>
          <w:tab w:val="clear" w:pos="708"/>
          <w:tab w:val="left" w:pos="3570" w:leader="none"/>
        </w:tabs>
        <w:suppressAutoHyphens w:val="true"/>
        <w:overflowPunct w:val="false"/>
        <w:bidi w:val="0"/>
        <w:ind w:left="4252" w:right="0" w:hanging="3912"/>
        <w:rPr>
          <w:rFonts w:ascii="Arial" w:hAnsi="Arial" w:cs="Arial"/>
        </w:rPr>
      </w:pPr>
      <w:r>
        <w:rPr>
          <w:rFonts w:cs="Arial"/>
        </w:rPr>
        <w:t>daňové doklady (DPH)</w:t>
        <w:tab/>
        <w:tab/>
        <w:t xml:space="preserve">10 let </w:t>
        <w:tab/>
        <w:t>od konce kalendářního roku, ve kterém vznikla daňová povinnost</w:t>
      </w:r>
    </w:p>
    <w:p>
      <w:pPr>
        <w:pStyle w:val="Normal"/>
        <w:widowControl/>
        <w:numPr>
          <w:ilvl w:val="0"/>
          <w:numId w:val="14"/>
        </w:numPr>
        <w:suppressAutoHyphens w:val="true"/>
        <w:overflowPunct w:val="false"/>
        <w:bidi w:val="0"/>
        <w:ind w:left="4252" w:right="0" w:hanging="3912"/>
        <w:rPr>
          <w:rFonts w:ascii="Arial" w:hAnsi="Arial" w:cs="Arial"/>
        </w:rPr>
      </w:pPr>
      <w:r>
        <w:rPr>
          <w:rFonts w:cs="Arial"/>
        </w:rPr>
        <w:t>účetní knihy</w:t>
        <w:tab/>
        <w:t>5 let</w:t>
        <w:tab/>
        <w:t>počínaje koncem účetního období, kterého se týkají</w:t>
      </w:r>
    </w:p>
    <w:p>
      <w:pPr>
        <w:pStyle w:val="Normal"/>
        <w:widowControl/>
        <w:numPr>
          <w:ilvl w:val="0"/>
          <w:numId w:val="14"/>
        </w:numPr>
        <w:suppressAutoHyphens w:val="true"/>
        <w:overflowPunct w:val="false"/>
        <w:bidi w:val="0"/>
        <w:ind w:left="4252" w:right="0" w:hanging="3912"/>
        <w:rPr>
          <w:rFonts w:ascii="Arial" w:hAnsi="Arial" w:cs="Arial"/>
        </w:rPr>
      </w:pPr>
      <w:r>
        <w:rPr>
          <w:rFonts w:cs="Arial"/>
        </w:rPr>
        <w:t>pokladní doklady mimo DPH</w:t>
        <w:tab/>
        <w:t xml:space="preserve">5 let </w:t>
        <w:tab/>
        <w:t>počínaje koncem účetního období, kterého se týkají</w:t>
      </w:r>
    </w:p>
    <w:p>
      <w:pPr>
        <w:pStyle w:val="Normal"/>
        <w:widowControl/>
        <w:numPr>
          <w:ilvl w:val="0"/>
          <w:numId w:val="14"/>
        </w:numPr>
        <w:suppressAutoHyphens w:val="true"/>
        <w:overflowPunct w:val="false"/>
        <w:bidi w:val="0"/>
        <w:ind w:left="4252" w:right="0" w:hanging="3912"/>
        <w:rPr>
          <w:rFonts w:ascii="Arial" w:hAnsi="Arial" w:cs="Arial"/>
        </w:rPr>
      </w:pPr>
      <w:r>
        <w:rPr>
          <w:rFonts w:cs="Arial"/>
        </w:rPr>
        <w:t>účtový rozvrh</w:t>
        <w:tab/>
        <w:t xml:space="preserve">5 let </w:t>
        <w:tab/>
        <w:t>počínaje koncem účetního období, kterého se  týkají</w:t>
      </w:r>
    </w:p>
    <w:p>
      <w:pPr>
        <w:pStyle w:val="Normal"/>
        <w:rPr>
          <w:rFonts w:ascii="Arial" w:hAnsi="Arial" w:cs="Arial"/>
        </w:rPr>
      </w:pPr>
      <w:r>
        <w:rPr>
          <w:rFonts w:cs="Arial"/>
        </w:rPr>
      </w:r>
    </w:p>
    <w:p>
      <w:pPr>
        <w:pStyle w:val="Normal"/>
        <w:jc w:val="both"/>
        <w:rPr/>
      </w:pPr>
      <w:r>
        <w:rPr>
          <w:rFonts w:cs="Arial"/>
        </w:rPr>
        <w:t>Všechny dokumenty týkající se projektů spolufinancovan</w:t>
      </w:r>
      <w:r>
        <w:rPr>
          <w:rFonts w:cs="Arial"/>
          <w:lang w:val="cs-CZ"/>
        </w:rPr>
        <w:t xml:space="preserve">ých z veřejných prostředků jsou uchovávány po dobu minimálně 15 let. </w:t>
      </w:r>
    </w:p>
    <w:p>
      <w:pPr>
        <w:pStyle w:val="Normal"/>
        <w:jc w:val="both"/>
        <w:rPr>
          <w:rFonts w:ascii="Arial" w:hAnsi="Arial" w:cs="Arial"/>
          <w:lang w:val="cs-CZ"/>
        </w:rPr>
      </w:pPr>
      <w:r>
        <w:rPr>
          <w:rFonts w:cs="Arial"/>
          <w:lang w:val="cs-CZ"/>
        </w:rPr>
      </w:r>
    </w:p>
    <w:p>
      <w:pPr>
        <w:pStyle w:val="Normal"/>
        <w:jc w:val="both"/>
        <w:rPr/>
      </w:pPr>
      <w:r>
        <w:rPr>
          <w:rFonts w:cs="Arial"/>
          <w:lang w:val="cs-CZ"/>
        </w:rPr>
        <w:t xml:space="preserve">Všechny dokumenty týkající se majetku nebo závazků evidovaných aktuálně v účetnictví společnosti jsou uschovávány až do 5 let od vyřazení z evidence. </w:t>
      </w:r>
    </w:p>
    <w:p>
      <w:pPr>
        <w:pStyle w:val="Normal"/>
        <w:jc w:val="both"/>
        <w:rPr>
          <w:rFonts w:ascii="Arial" w:hAnsi="Arial" w:cs="Arial"/>
        </w:rPr>
      </w:pPr>
      <w:r>
        <w:rPr>
          <w:rFonts w:cs="Arial"/>
        </w:rPr>
      </w:r>
    </w:p>
    <w:p>
      <w:pPr>
        <w:pStyle w:val="Normal"/>
        <w:jc w:val="both"/>
        <w:rPr>
          <w:rFonts w:ascii="Arial" w:hAnsi="Arial" w:cs="Arial"/>
        </w:rPr>
      </w:pPr>
      <w:r>
        <w:rPr>
          <w:rFonts w:cs="Arial"/>
        </w:rPr>
        <w:t>Za správné vyřazování písemností a jiných záznamů z běžné činnosti a za správné uložení do spisovny odpovídá ředitel organizace.</w:t>
      </w:r>
    </w:p>
    <w:p>
      <w:pPr>
        <w:pStyle w:val="Normal"/>
        <w:rPr>
          <w:rFonts w:ascii="Arial" w:hAnsi="Arial" w:cs="Arial"/>
        </w:rPr>
      </w:pPr>
      <w:r>
        <w:rPr>
          <w:rFonts w:cs="Arial"/>
        </w:rPr>
      </w:r>
    </w:p>
    <w:p>
      <w:pPr>
        <w:pStyle w:val="Normal"/>
        <w:ind w:left="360" w:right="0" w:hanging="0"/>
        <w:jc w:val="both"/>
        <w:rPr>
          <w:rFonts w:ascii="Arial" w:hAnsi="Arial" w:cs="Arial"/>
        </w:rPr>
      </w:pPr>
      <w:r>
        <w:rPr>
          <w:rFonts w:cs="Arial"/>
        </w:rPr>
      </w:r>
    </w:p>
    <w:p>
      <w:pPr>
        <w:pStyle w:val="Heading2"/>
        <w:numPr>
          <w:ilvl w:val="1"/>
          <w:numId w:val="2"/>
        </w:numPr>
        <w:rPr>
          <w:rFonts w:ascii="Arial" w:hAnsi="Arial" w:cs="Arial"/>
          <w:b/>
          <w:b/>
          <w:bCs/>
          <w:sz w:val="24"/>
          <w:szCs w:val="24"/>
        </w:rPr>
      </w:pPr>
      <w:bookmarkStart w:id="67" w:name="__RefHeading___Toc4053_220351804"/>
      <w:bookmarkEnd w:id="67"/>
      <w:r>
        <w:rPr>
          <w:rFonts w:cs="Arial"/>
          <w:b/>
          <w:bCs/>
          <w:sz w:val="24"/>
          <w:szCs w:val="24"/>
        </w:rPr>
        <w:t xml:space="preserve">Skartace </w:t>
      </w:r>
    </w:p>
    <w:p>
      <w:pPr>
        <w:pStyle w:val="Normal"/>
        <w:numPr>
          <w:ilvl w:val="0"/>
          <w:numId w:val="3"/>
        </w:numPr>
        <w:jc w:val="both"/>
        <w:rPr>
          <w:rFonts w:ascii="Arial" w:hAnsi="Arial" w:cs="Arial"/>
        </w:rPr>
      </w:pPr>
      <w:r>
        <w:rPr>
          <w:rFonts w:cs="Arial"/>
        </w:rPr>
        <w:t xml:space="preserve">Skartace probíhá pomocí skartačního stroje, který je umístěn v kanceláři organizace. </w:t>
      </w:r>
    </w:p>
    <w:p>
      <w:pPr>
        <w:pStyle w:val="Normal"/>
        <w:numPr>
          <w:ilvl w:val="0"/>
          <w:numId w:val="3"/>
        </w:numPr>
        <w:jc w:val="both"/>
        <w:rPr>
          <w:rFonts w:ascii="Arial" w:hAnsi="Arial" w:cs="Arial"/>
        </w:rPr>
      </w:pPr>
      <w:r>
        <w:rPr>
          <w:rFonts w:cs="Arial"/>
        </w:rPr>
        <w:t>O skartaci je proveden záznam.</w:t>
      </w:r>
    </w:p>
    <w:p>
      <w:pPr>
        <w:pStyle w:val="Normal"/>
        <w:numPr>
          <w:ilvl w:val="0"/>
          <w:numId w:val="3"/>
        </w:numPr>
        <w:jc w:val="both"/>
        <w:rPr>
          <w:rFonts w:ascii="Arial" w:hAnsi="Arial" w:cs="Arial"/>
        </w:rPr>
      </w:pPr>
      <w:r>
        <w:rPr>
          <w:rFonts w:cs="Arial"/>
        </w:rPr>
        <w:t>Za skartaci zodpovídá ředitel organizace.</w:t>
      </w:r>
    </w:p>
    <w:p>
      <w:pPr>
        <w:pStyle w:val="Normal"/>
        <w:jc w:val="both"/>
        <w:rPr>
          <w:rFonts w:ascii="Arial" w:hAnsi="Arial" w:cs="Arial"/>
        </w:rPr>
      </w:pPr>
      <w:r>
        <w:rPr>
          <w:rFonts w:cs="Arial"/>
        </w:rPr>
      </w:r>
    </w:p>
    <w:p>
      <w:pPr>
        <w:pStyle w:val="Normal"/>
        <w:jc w:val="both"/>
        <w:rPr>
          <w:rFonts w:ascii="Arial" w:hAnsi="Arial" w:cs="Arial"/>
          <w:lang w:val="en-US"/>
        </w:rPr>
      </w:pPr>
      <w:r>
        <w:rPr>
          <w:rFonts w:cs="Arial"/>
          <w:lang w:val="en-US"/>
        </w:rPr>
      </w:r>
    </w:p>
    <w:p>
      <w:pPr>
        <w:pStyle w:val="Normal"/>
        <w:jc w:val="both"/>
        <w:rPr>
          <w:rFonts w:ascii="Arial" w:hAnsi="Arial" w:cs="Arial"/>
          <w:lang w:val="en-US"/>
        </w:rPr>
      </w:pPr>
      <w:r>
        <w:rPr>
          <w:rFonts w:cs="Arial"/>
          <w:lang w:val="en-US"/>
        </w:rPr>
      </w:r>
      <w:r>
        <w:br w:type="page"/>
      </w:r>
    </w:p>
    <w:p>
      <w:pPr>
        <w:pStyle w:val="Heading1"/>
        <w:numPr>
          <w:ilvl w:val="0"/>
          <w:numId w:val="2"/>
        </w:numPr>
        <w:ind w:left="0" w:right="0" w:hanging="0"/>
        <w:rPr/>
      </w:pPr>
      <w:bookmarkStart w:id="68" w:name="__RefHeading___Toc6671_173049253"/>
      <w:bookmarkEnd w:id="68"/>
      <w:r>
        <w:rPr/>
        <w:t xml:space="preserve">Opravy účtování minulých let </w:t>
      </w:r>
    </w:p>
    <w:p>
      <w:pPr>
        <w:pStyle w:val="Normal"/>
        <w:jc w:val="both"/>
        <w:rPr/>
      </w:pPr>
      <w:r>
        <w:rPr/>
      </w:r>
    </w:p>
    <w:p>
      <w:pPr>
        <w:pStyle w:val="Normal"/>
        <w:jc w:val="both"/>
        <w:rPr/>
      </w:pPr>
      <w:r>
        <w:rPr>
          <w:rFonts w:eastAsia="Arial" w:cs="Arial"/>
          <w:b w:val="false"/>
          <w:bCs w:val="false"/>
          <w:sz w:val="22"/>
          <w:szCs w:val="22"/>
          <w:u w:val="none"/>
        </w:rPr>
        <w:t>V případě oprav nákladů nebo výnosů z předešlých účetních období se tyto účtují na účty, s nimiž věcně souvisí. V případě kdy se jedná o významnou částku značně ovlivňující výsledek hospodaření bude ta účtována pomocí výsledku hospodaření minulých let. Za významnou částku je v účetní jednotce považována částka převyšující 60 000 Kč.</w:t>
      </w:r>
      <w:r>
        <w:rPr>
          <w:rFonts w:eastAsia="Arial" w:cs="Arial"/>
          <w:b w:val="false"/>
          <w:bCs w:val="false"/>
          <w:sz w:val="22"/>
          <w:szCs w:val="22"/>
        </w:rPr>
        <w:t xml:space="preserve">                                               </w:t>
      </w:r>
    </w:p>
    <w:p>
      <w:pPr>
        <w:pStyle w:val="Normal"/>
        <w:tabs>
          <w:tab w:val="clear" w:pos="708"/>
          <w:tab w:val="left" w:pos="4605" w:leader="none"/>
        </w:tabs>
        <w:jc w:val="both"/>
        <w:rPr>
          <w:rFonts w:ascii="Arial" w:hAnsi="Arial" w:cs="Arial"/>
          <w:sz w:val="22"/>
          <w:szCs w:val="22"/>
        </w:rPr>
      </w:pPr>
      <w:r>
        <w:rPr>
          <w:rFonts w:cs="Arial"/>
          <w:sz w:val="22"/>
          <w:szCs w:val="22"/>
        </w:rPr>
      </w:r>
    </w:p>
    <w:p>
      <w:pPr>
        <w:pStyle w:val="Normal"/>
        <w:tabs>
          <w:tab w:val="clear" w:pos="708"/>
          <w:tab w:val="left" w:pos="4605" w:leader="none"/>
        </w:tabs>
        <w:jc w:val="both"/>
        <w:rPr>
          <w:rFonts w:ascii="Arial" w:hAnsi="Arial" w:cs="Arial"/>
          <w:b/>
          <w:b/>
          <w:bCs/>
          <w:sz w:val="22"/>
          <w:szCs w:val="22"/>
          <w:u w:val="single"/>
        </w:rPr>
      </w:pPr>
      <w:r>
        <w:rPr>
          <w:rFonts w:cs="Arial"/>
          <w:b/>
          <w:bCs/>
          <w:sz w:val="22"/>
          <w:szCs w:val="22"/>
          <w:u w:val="single"/>
        </w:rPr>
      </w:r>
    </w:p>
    <w:p>
      <w:pPr>
        <w:pStyle w:val="Normal"/>
        <w:tabs>
          <w:tab w:val="clear" w:pos="708"/>
          <w:tab w:val="left" w:pos="4605" w:leader="none"/>
        </w:tabs>
        <w:jc w:val="both"/>
        <w:rPr>
          <w:rFonts w:ascii="Arial" w:hAnsi="Arial" w:cs="Arial"/>
          <w:b/>
          <w:b/>
          <w:bCs/>
          <w:sz w:val="22"/>
          <w:szCs w:val="24"/>
          <w:u w:val="single"/>
        </w:rPr>
      </w:pPr>
      <w:r>
        <w:rPr>
          <w:rFonts w:cs="Arial"/>
          <w:b/>
          <w:bCs/>
          <w:sz w:val="22"/>
          <w:szCs w:val="24"/>
          <w:u w:val="single"/>
        </w:rPr>
      </w:r>
      <w:r>
        <w:br w:type="page"/>
      </w:r>
    </w:p>
    <w:p>
      <w:pPr>
        <w:pStyle w:val="Heading1"/>
        <w:numPr>
          <w:ilvl w:val="0"/>
          <w:numId w:val="2"/>
        </w:numPr>
        <w:ind w:left="0" w:right="0" w:hanging="0"/>
        <w:rPr/>
      </w:pPr>
      <w:bookmarkStart w:id="69" w:name="__RefHeading___Toc6757_173049253"/>
      <w:bookmarkEnd w:id="69"/>
      <w:r>
        <w:rPr/>
        <w:t>Přílohy</w:t>
      </w:r>
    </w:p>
    <w:p>
      <w:pPr>
        <w:pStyle w:val="Normal"/>
        <w:tabs>
          <w:tab w:val="clear" w:pos="708"/>
          <w:tab w:val="left" w:pos="4605" w:leader="none"/>
        </w:tabs>
        <w:jc w:val="both"/>
        <w:rPr>
          <w:rFonts w:ascii="Arial" w:hAnsi="Arial" w:cs="Arial"/>
          <w:sz w:val="22"/>
          <w:szCs w:val="22"/>
        </w:rPr>
      </w:pPr>
      <w:r>
        <w:rPr>
          <w:rFonts w:cs="Arial"/>
          <w:sz w:val="22"/>
          <w:szCs w:val="22"/>
        </w:rPr>
      </w:r>
    </w:p>
    <w:p>
      <w:pPr>
        <w:pStyle w:val="Normal"/>
        <w:tabs>
          <w:tab w:val="clear" w:pos="708"/>
          <w:tab w:val="left" w:pos="4605" w:leader="none"/>
        </w:tabs>
        <w:jc w:val="both"/>
        <w:rPr>
          <w:rFonts w:ascii="Arial" w:hAnsi="Arial" w:cs="Arial"/>
          <w:sz w:val="22"/>
          <w:szCs w:val="22"/>
        </w:rPr>
      </w:pPr>
      <w:r>
        <w:rPr>
          <w:rFonts w:cs="Arial"/>
          <w:sz w:val="22"/>
          <w:szCs w:val="22"/>
        </w:rPr>
      </w:r>
    </w:p>
    <w:p>
      <w:pPr>
        <w:pStyle w:val="Normal"/>
        <w:jc w:val="both"/>
        <w:rPr>
          <w:rFonts w:ascii="Arial" w:hAnsi="Arial" w:cs="Arial"/>
          <w:sz w:val="22"/>
          <w:szCs w:val="22"/>
        </w:rPr>
      </w:pPr>
      <w:r>
        <w:rPr>
          <w:rFonts w:cs="Arial"/>
          <w:sz w:val="22"/>
          <w:szCs w:val="22"/>
        </w:rPr>
        <w:t>Příloha č. 1 – Podpisové vzory</w:t>
      </w:r>
    </w:p>
    <w:p>
      <w:pPr>
        <w:pStyle w:val="Normal"/>
        <w:jc w:val="both"/>
        <w:rPr>
          <w:rFonts w:ascii="Arial" w:hAnsi="Arial" w:cs="Arial"/>
          <w:sz w:val="22"/>
          <w:szCs w:val="22"/>
        </w:rPr>
      </w:pPr>
      <w:r>
        <w:rPr>
          <w:rFonts w:cs="Arial"/>
          <w:sz w:val="22"/>
          <w:szCs w:val="22"/>
        </w:rPr>
        <w:t>Příloha č. 2 - Účtový rozvrh</w:t>
      </w:r>
    </w:p>
    <w:p>
      <w:pPr>
        <w:pStyle w:val="Normal"/>
        <w:jc w:val="both"/>
        <w:rPr>
          <w:rFonts w:ascii="Arial" w:hAnsi="Arial" w:cs="Arial"/>
          <w:sz w:val="22"/>
          <w:szCs w:val="22"/>
        </w:rPr>
      </w:pPr>
      <w:r>
        <w:rPr>
          <w:rFonts w:cs="Arial"/>
          <w:sz w:val="22"/>
          <w:szCs w:val="22"/>
        </w:rPr>
        <w:t>Příloha č. 3 – Oběh dokladů</w:t>
      </w:r>
    </w:p>
    <w:p>
      <w:pPr>
        <w:pStyle w:val="Normal"/>
        <w:jc w:val="both"/>
        <w:rPr>
          <w:rFonts w:ascii="Arial" w:hAnsi="Arial" w:cs="Arial"/>
          <w:sz w:val="22"/>
          <w:szCs w:val="22"/>
        </w:rPr>
      </w:pPr>
      <w:r>
        <w:rPr>
          <w:rFonts w:cs="Arial"/>
          <w:sz w:val="22"/>
          <w:szCs w:val="22"/>
        </w:rPr>
        <w:t>Příloha č. 4 – Cestovní příkaz</w:t>
      </w:r>
    </w:p>
    <w:p>
      <w:pPr>
        <w:pStyle w:val="Normal"/>
        <w:jc w:val="both"/>
        <w:rPr>
          <w:rFonts w:ascii="Arial" w:hAnsi="Arial" w:cs="Arial"/>
          <w:sz w:val="22"/>
          <w:szCs w:val="22"/>
        </w:rPr>
      </w:pPr>
      <w:r>
        <w:rPr>
          <w:rFonts w:cs="Arial"/>
          <w:sz w:val="22"/>
          <w:szCs w:val="22"/>
        </w:rPr>
        <w:t>Příloha č. 5 – Sazby cestovních náhrad</w:t>
      </w:r>
    </w:p>
    <w:p>
      <w:pPr>
        <w:pStyle w:val="Normal"/>
        <w:jc w:val="both"/>
        <w:rPr>
          <w:rFonts w:ascii="Arial" w:hAnsi="Arial" w:cs="Arial"/>
          <w:sz w:val="22"/>
          <w:szCs w:val="22"/>
        </w:rPr>
      </w:pPr>
      <w:r>
        <w:rPr>
          <w:rFonts w:cs="Arial"/>
          <w:sz w:val="22"/>
          <w:szCs w:val="22"/>
        </w:rPr>
      </w:r>
    </w:p>
    <w:p>
      <w:pPr>
        <w:pStyle w:val="Normal"/>
        <w:jc w:val="both"/>
        <w:rPr>
          <w:rFonts w:ascii="Arial" w:hAnsi="Arial" w:cs="Arial"/>
          <w:sz w:val="22"/>
          <w:szCs w:val="22"/>
        </w:rPr>
      </w:pPr>
      <w:r>
        <w:rPr/>
      </w:r>
    </w:p>
    <w:sectPr>
      <w:footerReference w:type="default" r:id="rId2"/>
      <w:type w:val="nextPage"/>
      <w:pgSz w:w="11906" w:h="16838"/>
      <w:pgMar w:left="1418" w:right="1418" w:header="0" w:top="1418" w:footer="850" w:bottom="1416"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Symbol">
    <w:charset w:val="01"/>
    <w:family w:val="roman"/>
    <w:pitch w:val="variable"/>
  </w:font>
  <w:font w:name="OpenSymbol">
    <w:altName w:val="Arial Unicode MS"/>
    <w:charset w:val="01"/>
    <w:family w:val="roman"/>
    <w:pitch w:val="variable"/>
  </w:font>
  <w:font w:name="Times New Roman">
    <w:charset w:val="01"/>
    <w:family w:val="roman"/>
    <w:pitch w:val="variable"/>
  </w:font>
  <w:font w:name="Wingdings">
    <w:charset w:val="01"/>
    <w:family w:val="roman"/>
    <w:pitch w:val="variable"/>
  </w:font>
  <w:font w:name="Liberation Sans">
    <w:altName w:val="Arial"/>
    <w:charset w:val="01"/>
    <w:family w:val="swiss"/>
    <w:pitch w:val="variable"/>
  </w:font>
  <w:font w:name="Courier New">
    <w:charset w:val="01"/>
    <w:family w:val="roman"/>
    <w:pitch w:val="variable"/>
  </w:font>
  <w:font w:name="Tahoma">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sz w:val="20"/>
        <w:szCs w:val="20"/>
        <w:lang w:val="en-US"/>
      </w:rPr>
      <w:t xml:space="preserve">Strana </w:t>
    </w:r>
    <w:r>
      <w:rPr>
        <w:sz w:val="20"/>
        <w:szCs w:val="20"/>
      </w:rPr>
      <w:fldChar w:fldCharType="begin"/>
    </w:r>
    <w:r>
      <w:rPr>
        <w:sz w:val="20"/>
        <w:szCs w:val="20"/>
      </w:rPr>
      <w:instrText> PAGE </w:instrText>
    </w:r>
    <w:r>
      <w:rPr>
        <w:sz w:val="20"/>
        <w:szCs w:val="20"/>
      </w:rPr>
      <w:fldChar w:fldCharType="separate"/>
    </w:r>
    <w:r>
      <w:rPr>
        <w:sz w:val="20"/>
        <w:szCs w:val="20"/>
      </w:rPr>
      <w:t>22</w:t>
    </w:r>
    <w:r>
      <w:rPr>
        <w:sz w:val="20"/>
        <w:szCs w:val="20"/>
      </w:rPr>
      <w:fldChar w:fldCharType="end"/>
    </w:r>
    <w:r>
      <w:rPr>
        <w:sz w:val="20"/>
        <w:szCs w:val="20"/>
      </w:rPr>
      <w:t>/</w:t>
    </w:r>
    <w:r>
      <w:rPr>
        <w:sz w:val="20"/>
        <w:szCs w:val="20"/>
      </w:rPr>
      <w:fldChar w:fldCharType="begin"/>
    </w:r>
    <w:r>
      <w:rPr>
        <w:sz w:val="20"/>
        <w:szCs w:val="20"/>
      </w:rPr>
      <w:instrText> NUMPAGES </w:instrText>
    </w:r>
    <w:r>
      <w:rPr>
        <w:sz w:val="20"/>
        <w:szCs w:val="20"/>
      </w:rPr>
      <w:fldChar w:fldCharType="separate"/>
    </w:r>
    <w:r>
      <w:rPr>
        <w:sz w:val="20"/>
        <w:szCs w:val="20"/>
      </w:rPr>
      <w:t>27</w:t>
    </w:r>
    <w:r>
      <w:rPr>
        <w:sz w:val="20"/>
        <w:szCs w:val="2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upperRoman"/>
      <w:suff w:val="nothing"/>
      <w:lvlText w:val="%1. "/>
      <w:lvlJc w:val="left"/>
      <w:pPr>
        <w:tabs>
          <w:tab w:val="num" w:pos="0"/>
        </w:tabs>
        <w:ind w:left="432" w:hanging="432"/>
      </w:pPr>
    </w:lvl>
    <w:lvl w:ilvl="1">
      <w:start w:val="1"/>
      <w:pStyle w:val="Heading2"/>
      <w:numFmt w:val="decimal"/>
      <w:suff w:val="nothing"/>
      <w:lvlText w:val="%1.%2. "/>
      <w:lvlJc w:val="left"/>
      <w:pPr>
        <w:tabs>
          <w:tab w:val="num" w:pos="0"/>
        </w:tabs>
        <w:ind w:left="576" w:hanging="576"/>
      </w:pPr>
    </w:lvl>
    <w:lvl w:ilvl="2">
      <w:start w:val="1"/>
      <w:pStyle w:val="Heading3"/>
      <w:numFmt w:val="decimal"/>
      <w:suff w:val="nothing"/>
      <w:lvlText w:val="%1.%2.%3. "/>
      <w:lvlJc w:val="left"/>
      <w:pPr>
        <w:tabs>
          <w:tab w:val="num" w:pos="0"/>
        </w:tabs>
        <w:ind w:left="720" w:hanging="720"/>
      </w:pPr>
    </w:lvl>
    <w:lvl w:ilvl="3">
      <w:start w:val="1"/>
      <w:pStyle w:val="Heading4"/>
      <w:numFmt w:val="decimal"/>
      <w:suff w:val="nothing"/>
      <w:lvlText w:val=" %1.%2.%3.%4 "/>
      <w:lvlJc w:val="left"/>
      <w:pPr>
        <w:tabs>
          <w:tab w:val="num" w:pos="0"/>
        </w:tabs>
        <w:ind w:left="864" w:hanging="864"/>
      </w:pPr>
    </w:lvl>
    <w:lvl w:ilvl="4">
      <w:start w:val="1"/>
      <w:pStyle w:val="Heading5"/>
      <w:numFmt w:val="decimal"/>
      <w:suff w:val="nothing"/>
      <w:lvlText w:val=" %1.%2.%3.%4.%5 "/>
      <w:lvlJc w:val="left"/>
      <w:pPr>
        <w:tabs>
          <w:tab w:val="num" w:pos="0"/>
        </w:tabs>
        <w:ind w:left="1008" w:hanging="1008"/>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suff w:val="nothing"/>
      <w:lvlText w:val="%1. "/>
      <w:lvlJc w:val="left"/>
      <w:pPr>
        <w:tabs>
          <w:tab w:val="num" w:pos="0"/>
        </w:tabs>
        <w:ind w:left="432" w:hanging="432"/>
      </w:pPr>
    </w:lvl>
    <w:lvl w:ilvl="1">
      <w:start w:val="1"/>
      <w:numFmt w:val="decimal"/>
      <w:suff w:val="nothing"/>
      <w:lvlText w:val="%1.%2. "/>
      <w:lvlJc w:val="left"/>
      <w:pPr>
        <w:tabs>
          <w:tab w:val="num" w:pos="0"/>
        </w:tabs>
        <w:ind w:left="576" w:hanging="576"/>
      </w:pPr>
    </w:lvl>
    <w:lvl w:ilvl="2">
      <w:start w:val="1"/>
      <w:numFmt w:val="decimal"/>
      <w:suff w:val="nothing"/>
      <w:lvlText w:val="%1.%2.%3. "/>
      <w:lvlJc w:val="left"/>
      <w:pPr>
        <w:tabs>
          <w:tab w:val="num" w:pos="0"/>
        </w:tabs>
        <w:ind w:left="720" w:hanging="720"/>
      </w:pPr>
    </w:lvl>
    <w:lvl w:ilvl="3">
      <w:start w:val="1"/>
      <w:numFmt w:val="decimal"/>
      <w:suff w:val="nothing"/>
      <w:lvlText w:val=" %1.%2.%3.%4 "/>
      <w:lvlJc w:val="left"/>
      <w:pPr>
        <w:tabs>
          <w:tab w:val="num" w:pos="0"/>
        </w:tabs>
        <w:ind w:left="864" w:hanging="864"/>
      </w:pPr>
    </w:lvl>
    <w:lvl w:ilvl="4">
      <w:start w:val="1"/>
      <w:numFmt w:val="decimal"/>
      <w:suff w:val="nothing"/>
      <w:lvlText w:val=" %1.%2.%3.%4.%5 "/>
      <w:lvlJc w:val="left"/>
      <w:pPr>
        <w:tabs>
          <w:tab w:val="num" w:pos="0"/>
        </w:tabs>
        <w:ind w:left="1008" w:hanging="1008"/>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432" w:hanging="432"/>
      </w:pPr>
      <w:rPr>
        <w:b/>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lvl w:ilvl="0">
      <w:start w:val="1"/>
      <w:numFmt w:val="decimal"/>
      <w:lvlText w:val="%1."/>
      <w:lvlJc w:val="left"/>
      <w:pPr>
        <w:tabs>
          <w:tab w:val="num" w:pos="0"/>
        </w:tabs>
        <w:ind w:left="720" w:hanging="360"/>
      </w:pPr>
      <w:rPr>
        <w:b/>
        <w:bCs/>
        <w:rFonts w:cs="Arial"/>
      </w:rPr>
    </w:lvl>
    <w:lvl w:ilvl="1">
      <w:start w:val="0"/>
      <w:numFmt w:val="none"/>
      <w:suff w:val="nothing"/>
      <w:lvlText w:val=""/>
      <w:lvlJc w:val="left"/>
      <w:pPr>
        <w:tabs>
          <w:tab w:val="num" w:pos="0"/>
        </w:tabs>
        <w:ind w:left="0" w:hanging="0"/>
      </w:pPr>
    </w:lvl>
    <w:lvl w:ilvl="2">
      <w:start w:val="0"/>
      <w:numFmt w:val="none"/>
      <w:suff w:val="nothing"/>
      <w:lvlText w:val=""/>
      <w:lvlJc w:val="left"/>
      <w:pPr>
        <w:tabs>
          <w:tab w:val="num" w:pos="0"/>
        </w:tabs>
        <w:ind w:left="0" w:hanging="0"/>
      </w:pPr>
    </w:lvl>
    <w:lvl w:ilvl="3">
      <w:start w:val="0"/>
      <w:numFmt w:val="none"/>
      <w:suff w:val="nothing"/>
      <w:lvlText w:val=""/>
      <w:lvlJc w:val="left"/>
      <w:pPr>
        <w:tabs>
          <w:tab w:val="num" w:pos="0"/>
        </w:tabs>
        <w:ind w:left="0" w:hanging="0"/>
      </w:pPr>
    </w:lvl>
    <w:lvl w:ilvl="4">
      <w:start w:val="0"/>
      <w:numFmt w:val="none"/>
      <w:suff w:val="nothing"/>
      <w:lvlText w:val=""/>
      <w:lvlJc w:val="left"/>
      <w:pPr>
        <w:tabs>
          <w:tab w:val="num" w:pos="0"/>
        </w:tabs>
        <w:ind w:left="0" w:hanging="0"/>
      </w:pPr>
    </w:lvl>
    <w:lvl w:ilvl="5">
      <w:start w:val="0"/>
      <w:numFmt w:val="none"/>
      <w:suff w:val="nothing"/>
      <w:lvlText w:val=""/>
      <w:lvlJc w:val="left"/>
      <w:pPr>
        <w:tabs>
          <w:tab w:val="num" w:pos="0"/>
        </w:tabs>
        <w:ind w:left="0" w:hanging="0"/>
      </w:pPr>
    </w:lvl>
    <w:lvl w:ilvl="6">
      <w:start w:val="0"/>
      <w:numFmt w:val="none"/>
      <w:suff w:val="nothing"/>
      <w:lvlText w:val=""/>
      <w:lvlJc w:val="left"/>
      <w:pPr>
        <w:tabs>
          <w:tab w:val="num" w:pos="0"/>
        </w:tabs>
        <w:ind w:left="0" w:hanging="0"/>
      </w:pPr>
    </w:lvl>
    <w:lvl w:ilvl="7">
      <w:start w:val="0"/>
      <w:numFmt w:val="none"/>
      <w:suff w:val="nothing"/>
      <w:lvlText w:val=""/>
      <w:lvlJc w:val="left"/>
      <w:pPr>
        <w:tabs>
          <w:tab w:val="num" w:pos="0"/>
        </w:tabs>
        <w:ind w:left="0" w:hanging="0"/>
      </w:pPr>
    </w:lvl>
    <w:lvl w:ilvl="8">
      <w:start w:val="0"/>
      <w:numFmt w:val="none"/>
      <w:suff w:val="nothing"/>
      <w:lvlText w:val=""/>
      <w:lvlJc w:val="left"/>
      <w:pPr>
        <w:tabs>
          <w:tab w:val="num" w:pos="0"/>
        </w:tabs>
        <w:ind w:left="0" w:hanging="0"/>
      </w:p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1"/>
      <w:numFmt w:val="bullet"/>
      <w:lvlText w:val=""/>
      <w:lvlJc w:val="left"/>
      <w:pPr>
        <w:tabs>
          <w:tab w:val="num" w:pos="799"/>
        </w:tabs>
        <w:ind w:left="799" w:hanging="360"/>
      </w:pPr>
      <w:rPr>
        <w:rFonts w:ascii="Symbol" w:hAnsi="Symbol" w:cs="Symbol" w:hint="default"/>
      </w:rPr>
    </w:lvl>
    <w:lvl w:ilvl="1">
      <w:start w:val="1"/>
      <w:numFmt w:val="bullet"/>
      <w:lvlText w:val="◦"/>
      <w:lvlJc w:val="left"/>
      <w:pPr>
        <w:tabs>
          <w:tab w:val="num" w:pos="1159"/>
        </w:tabs>
        <w:ind w:left="1159" w:hanging="360"/>
      </w:pPr>
      <w:rPr>
        <w:rFonts w:ascii="OpenSymbol" w:hAnsi="OpenSymbol" w:cs="OpenSymbol" w:hint="default"/>
      </w:rPr>
    </w:lvl>
    <w:lvl w:ilvl="2">
      <w:start w:val="1"/>
      <w:numFmt w:val="bullet"/>
      <w:lvlText w:val="▪"/>
      <w:lvlJc w:val="left"/>
      <w:pPr>
        <w:tabs>
          <w:tab w:val="num" w:pos="1519"/>
        </w:tabs>
        <w:ind w:left="1519" w:hanging="360"/>
      </w:pPr>
      <w:rPr>
        <w:rFonts w:ascii="OpenSymbol" w:hAnsi="OpenSymbol" w:cs="OpenSymbol" w:hint="default"/>
      </w:rPr>
    </w:lvl>
    <w:lvl w:ilvl="3">
      <w:start w:val="1"/>
      <w:numFmt w:val="bullet"/>
      <w:lvlText w:val=""/>
      <w:lvlJc w:val="left"/>
      <w:pPr>
        <w:tabs>
          <w:tab w:val="num" w:pos="1879"/>
        </w:tabs>
        <w:ind w:left="1879" w:hanging="360"/>
      </w:pPr>
      <w:rPr>
        <w:rFonts w:ascii="Symbol" w:hAnsi="Symbol" w:cs="Symbol" w:hint="default"/>
      </w:rPr>
    </w:lvl>
    <w:lvl w:ilvl="4">
      <w:start w:val="1"/>
      <w:numFmt w:val="bullet"/>
      <w:lvlText w:val="◦"/>
      <w:lvlJc w:val="left"/>
      <w:pPr>
        <w:tabs>
          <w:tab w:val="num" w:pos="2239"/>
        </w:tabs>
        <w:ind w:left="2239" w:hanging="360"/>
      </w:pPr>
      <w:rPr>
        <w:rFonts w:ascii="OpenSymbol" w:hAnsi="OpenSymbol" w:cs="OpenSymbol" w:hint="default"/>
      </w:rPr>
    </w:lvl>
    <w:lvl w:ilvl="5">
      <w:start w:val="1"/>
      <w:numFmt w:val="bullet"/>
      <w:lvlText w:val="▪"/>
      <w:lvlJc w:val="left"/>
      <w:pPr>
        <w:tabs>
          <w:tab w:val="num" w:pos="2599"/>
        </w:tabs>
        <w:ind w:left="2599" w:hanging="360"/>
      </w:pPr>
      <w:rPr>
        <w:rFonts w:ascii="OpenSymbol" w:hAnsi="OpenSymbol" w:cs="OpenSymbol" w:hint="default"/>
      </w:rPr>
    </w:lvl>
    <w:lvl w:ilvl="6">
      <w:start w:val="1"/>
      <w:numFmt w:val="bullet"/>
      <w:lvlText w:val=""/>
      <w:lvlJc w:val="left"/>
      <w:pPr>
        <w:tabs>
          <w:tab w:val="num" w:pos="2959"/>
        </w:tabs>
        <w:ind w:left="2959" w:hanging="360"/>
      </w:pPr>
      <w:rPr>
        <w:rFonts w:ascii="Symbol" w:hAnsi="Symbol" w:cs="Symbol" w:hint="default"/>
      </w:rPr>
    </w:lvl>
    <w:lvl w:ilvl="7">
      <w:start w:val="1"/>
      <w:numFmt w:val="bullet"/>
      <w:lvlText w:val="◦"/>
      <w:lvlJc w:val="left"/>
      <w:pPr>
        <w:tabs>
          <w:tab w:val="num" w:pos="3319"/>
        </w:tabs>
        <w:ind w:left="3319" w:hanging="360"/>
      </w:pPr>
      <w:rPr>
        <w:rFonts w:ascii="OpenSymbol" w:hAnsi="OpenSymbol" w:cs="OpenSymbol" w:hint="default"/>
      </w:rPr>
    </w:lvl>
    <w:lvl w:ilvl="8">
      <w:start w:val="1"/>
      <w:numFmt w:val="bullet"/>
      <w:lvlText w:val="▪"/>
      <w:lvlJc w:val="left"/>
      <w:pPr>
        <w:tabs>
          <w:tab w:val="num" w:pos="3679"/>
        </w:tabs>
        <w:ind w:left="3679"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Arial" w:hAnsi="Arial" w:eastAsia="Times New Roman" w:cs="Times New Roman"/>
      <w:color w:val="auto"/>
      <w:kern w:val="0"/>
      <w:sz w:val="22"/>
      <w:szCs w:val="20"/>
      <w:lang w:val="cs-CZ" w:eastAsia="zh-CN" w:bidi="hi-IN"/>
    </w:rPr>
  </w:style>
  <w:style w:type="paragraph" w:styleId="Heading1">
    <w:name w:val="Heading 1"/>
    <w:basedOn w:val="Normal"/>
    <w:next w:val="Normal"/>
    <w:qFormat/>
    <w:pPr>
      <w:keepNext w:val="true"/>
      <w:numPr>
        <w:ilvl w:val="0"/>
        <w:numId w:val="1"/>
      </w:numPr>
      <w:tabs>
        <w:tab w:val="clear" w:pos="708"/>
        <w:tab w:val="left" w:pos="0" w:leader="none"/>
      </w:tabs>
      <w:ind w:left="0" w:right="0" w:hanging="0"/>
      <w:jc w:val="left"/>
      <w:outlineLvl w:val="0"/>
    </w:pPr>
    <w:rPr>
      <w:rFonts w:ascii="Arial" w:hAnsi="Arial" w:cs="Arial"/>
      <w:b/>
      <w:sz w:val="32"/>
      <w:szCs w:val="24"/>
      <w:u w:val="none"/>
    </w:rPr>
  </w:style>
  <w:style w:type="paragraph" w:styleId="Heading2">
    <w:name w:val="Heading 2"/>
    <w:basedOn w:val="Normal"/>
    <w:next w:val="Normal"/>
    <w:qFormat/>
    <w:pPr>
      <w:keepNext w:val="true"/>
      <w:numPr>
        <w:ilvl w:val="1"/>
        <w:numId w:val="1"/>
      </w:numPr>
      <w:tabs>
        <w:tab w:val="clear" w:pos="708"/>
        <w:tab w:val="left" w:pos="0" w:leader="none"/>
      </w:tabs>
      <w:spacing w:before="0" w:after="113"/>
      <w:jc w:val="both"/>
      <w:outlineLvl w:val="1"/>
    </w:pPr>
    <w:rPr>
      <w:rFonts w:ascii="Arial" w:hAnsi="Arial" w:cs="Arial"/>
      <w:b/>
      <w:sz w:val="24"/>
      <w:szCs w:val="24"/>
      <w:u w:val="none"/>
    </w:rPr>
  </w:style>
  <w:style w:type="paragraph" w:styleId="Heading3">
    <w:name w:val="Heading 3"/>
    <w:basedOn w:val="Normal"/>
    <w:next w:val="Normal"/>
    <w:qFormat/>
    <w:pPr>
      <w:keepNext w:val="true"/>
      <w:numPr>
        <w:ilvl w:val="2"/>
        <w:numId w:val="1"/>
      </w:numPr>
      <w:tabs>
        <w:tab w:val="clear" w:pos="708"/>
        <w:tab w:val="left" w:pos="0" w:leader="none"/>
      </w:tabs>
      <w:spacing w:before="0" w:after="113"/>
      <w:outlineLvl w:val="2"/>
    </w:pPr>
    <w:rPr>
      <w:rFonts w:ascii="Arial" w:hAnsi="Arial" w:cs="Arial"/>
      <w:b/>
      <w:bCs/>
      <w:i/>
      <w:sz w:val="24"/>
      <w:szCs w:val="24"/>
      <w:u w:val="none"/>
    </w:rPr>
  </w:style>
  <w:style w:type="paragraph" w:styleId="Heading4">
    <w:name w:val="Heading 4"/>
    <w:basedOn w:val="Normal"/>
    <w:next w:val="Normal"/>
    <w:qFormat/>
    <w:pPr>
      <w:keepNext w:val="true"/>
      <w:numPr>
        <w:ilvl w:val="3"/>
        <w:numId w:val="1"/>
      </w:numPr>
      <w:tabs>
        <w:tab w:val="clear" w:pos="708"/>
        <w:tab w:val="left" w:pos="0" w:leader="none"/>
      </w:tabs>
      <w:outlineLvl w:val="3"/>
    </w:pPr>
    <w:rPr>
      <w:sz w:val="28"/>
    </w:rPr>
  </w:style>
  <w:style w:type="paragraph" w:styleId="Heading5">
    <w:name w:val="Heading 5"/>
    <w:basedOn w:val="Normal"/>
    <w:next w:val="Normal"/>
    <w:qFormat/>
    <w:pPr>
      <w:keepNext w:val="true"/>
      <w:numPr>
        <w:ilvl w:val="4"/>
        <w:numId w:val="1"/>
      </w:numPr>
      <w:tabs>
        <w:tab w:val="clear" w:pos="708"/>
        <w:tab w:val="left" w:pos="0" w:leader="none"/>
      </w:tabs>
      <w:outlineLvl w:val="4"/>
    </w:pPr>
    <w:rPr>
      <w:b/>
      <w:bCs/>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
      <w:bCs/>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Arial"/>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Arial"/>
      <w:sz w:val="22"/>
      <w:szCs w:val="22"/>
      <w:lang w:bidi="zxx"/>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Arial"/>
      <w:lang w:bidi="zxx"/>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8Num10z0">
    <w:name w:val="WW8Num10z0"/>
    <w:qFormat/>
    <w:rPr>
      <w:rFonts w:ascii="Symbol" w:hAnsi="Symbol" w:cs="OpenSymbol;Arial Unicode MS"/>
    </w:rPr>
  </w:style>
  <w:style w:type="character" w:styleId="WW8Num10z1">
    <w:name w:val="WW8Num10z1"/>
    <w:qFormat/>
    <w:rPr>
      <w:rFonts w:ascii="OpenSymbol;Arial Unicode MS" w:hAnsi="OpenSymbol;Arial Unicode MS" w:cs="OpenSymbol;Arial Unicode MS"/>
    </w:rPr>
  </w:style>
  <w:style w:type="character" w:styleId="WW8Num11z0">
    <w:name w:val="WW8Num11z0"/>
    <w:qFormat/>
    <w:rPr>
      <w:rFonts w:ascii="Symbol" w:hAnsi="Symbol" w:cs="OpenSymbol;Arial Unicode MS"/>
      <w:sz w:val="20"/>
      <w:szCs w:val="20"/>
    </w:rPr>
  </w:style>
  <w:style w:type="character" w:styleId="WW8Num11z1">
    <w:name w:val="WW8Num11z1"/>
    <w:qFormat/>
    <w:rPr>
      <w:rFonts w:ascii="OpenSymbol;Arial Unicode MS" w:hAnsi="OpenSymbol;Arial Unicode MS" w:cs="OpenSymbol;Arial Unicode MS"/>
    </w:rPr>
  </w:style>
  <w:style w:type="character" w:styleId="WW8Num12z0">
    <w:name w:val="WW8Num12z0"/>
    <w:qFormat/>
    <w:rPr>
      <w:rFonts w:ascii="Symbol" w:hAnsi="Symbol" w:cs="OpenSymbol;Arial Unicode MS"/>
    </w:rPr>
  </w:style>
  <w:style w:type="character" w:styleId="WW8Num12z1">
    <w:name w:val="WW8Num12z1"/>
    <w:qFormat/>
    <w:rPr>
      <w:rFonts w:ascii="OpenSymbol;Arial Unicode MS" w:hAnsi="OpenSymbol;Arial Unicode MS" w:cs="OpenSymbol;Arial Unicode MS"/>
    </w:rPr>
  </w:style>
  <w:style w:type="character" w:styleId="WW8Num13z0">
    <w:name w:val="WW8Num13z0"/>
    <w:qFormat/>
    <w:rPr>
      <w:rFonts w:ascii="Symbol" w:hAnsi="Symbol" w:cs="OpenSymbol;Arial Unicode MS"/>
    </w:rPr>
  </w:style>
  <w:style w:type="character" w:styleId="WW8Num13z1">
    <w:name w:val="WW8Num13z1"/>
    <w:qFormat/>
    <w:rPr>
      <w:rFonts w:ascii="OpenSymbol;Arial Unicode MS" w:hAnsi="OpenSymbol;Arial Unicode MS" w:cs="OpenSymbol;Arial Unicode MS"/>
    </w:rPr>
  </w:style>
  <w:style w:type="character" w:styleId="WW8Num14z0">
    <w:name w:val="WW8Num14z0"/>
    <w:qFormat/>
    <w:rPr>
      <w:rFonts w:ascii="Symbol" w:hAnsi="Symbol" w:cs="OpenSymbol;Arial Unicode MS"/>
    </w:rPr>
  </w:style>
  <w:style w:type="character" w:styleId="WW8Num14z1">
    <w:name w:val="WW8Num14z1"/>
    <w:qFormat/>
    <w:rPr>
      <w:rFonts w:ascii="OpenSymbol;Arial Unicode MS" w:hAnsi="OpenSymbol;Arial Unicode MS" w:cs="OpenSymbol;Arial Unicode MS"/>
    </w:rPr>
  </w:style>
  <w:style w:type="character" w:styleId="WW8Num15z0">
    <w:name w:val="WW8Num15z0"/>
    <w:qFormat/>
    <w:rPr>
      <w:rFonts w:ascii="Symbol" w:hAnsi="Symbol" w:cs="OpenSymbol;Arial Unicode MS"/>
    </w:rPr>
  </w:style>
  <w:style w:type="character" w:styleId="WW8Num15z1">
    <w:name w:val="WW8Num15z1"/>
    <w:qFormat/>
    <w:rPr>
      <w:rFonts w:ascii="OpenSymbol;Arial Unicode MS" w:hAnsi="OpenSymbol;Arial Unicode MS" w:cs="OpenSymbol;Arial Unicode MS"/>
    </w:rPr>
  </w:style>
  <w:style w:type="character" w:styleId="WW8Num16z0">
    <w:name w:val="WW8Num16z0"/>
    <w:qFormat/>
    <w:rPr>
      <w:rFonts w:ascii="Symbol" w:hAnsi="Symbol" w:cs="OpenSymbol;Arial Unicode MS"/>
    </w:rPr>
  </w:style>
  <w:style w:type="character" w:styleId="WW8Num16z1">
    <w:name w:val="WW8Num16z1"/>
    <w:qFormat/>
    <w:rPr>
      <w:rFonts w:ascii="OpenSymbol;Arial Unicode MS" w:hAnsi="OpenSymbol;Arial Unicode MS" w:cs="OpenSymbol;Arial Unicode MS"/>
      <w:sz w:val="22"/>
      <w:szCs w:val="22"/>
    </w:rPr>
  </w:style>
  <w:style w:type="character" w:styleId="WW8Num17z0">
    <w:name w:val="WW8Num17z0"/>
    <w:qFormat/>
    <w:rPr>
      <w:rFonts w:ascii="Symbol" w:hAnsi="Symbol" w:cs="OpenSymbol;Arial Unicode MS"/>
      <w:sz w:val="22"/>
      <w:szCs w:val="22"/>
    </w:rPr>
  </w:style>
  <w:style w:type="character" w:styleId="WW8Num17z1">
    <w:name w:val="WW8Num17z1"/>
    <w:qFormat/>
    <w:rPr>
      <w:rFonts w:ascii="OpenSymbol;Arial Unicode MS" w:hAnsi="OpenSymbol;Arial Unicode MS" w:cs="OpenSymbol;Arial Unicode MS"/>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DefaultParagraphFont">
    <w:name w:val="Default Paragraph Font"/>
    <w:qFormat/>
    <w:rPr/>
  </w:style>
  <w:style w:type="character" w:styleId="WW8Num29z0">
    <w:name w:val="WW8Num29z0"/>
    <w:qFormat/>
    <w:rPr/>
  </w:style>
  <w:style w:type="character" w:styleId="WW8Num22z6">
    <w:name w:val="WW8Num22z6"/>
    <w:qFormat/>
    <w:rPr/>
  </w:style>
  <w:style w:type="character" w:styleId="WW8Num28z2">
    <w:name w:val="WW8Num28z2"/>
    <w:qFormat/>
    <w:rPr/>
  </w:style>
  <w:style w:type="character" w:styleId="WW8Num23z3">
    <w:name w:val="WW8Num23z3"/>
    <w:qFormat/>
    <w:rPr/>
  </w:style>
  <w:style w:type="character" w:styleId="WW8Num27z5">
    <w:name w:val="WW8Num27z5"/>
    <w:qFormat/>
    <w:rPr/>
  </w:style>
  <w:style w:type="character" w:styleId="WW8Num24z4">
    <w:name w:val="WW8Num24z4"/>
    <w:qFormat/>
    <w:rPr/>
  </w:style>
  <w:style w:type="character" w:styleId="WW8Num27z8">
    <w:name w:val="WW8Num27z8"/>
    <w:qFormat/>
    <w:rPr/>
  </w:style>
  <w:style w:type="character" w:styleId="WW8Num26z4">
    <w:name w:val="WW8Num26z4"/>
    <w:qFormat/>
    <w:rPr/>
  </w:style>
  <w:style w:type="character" w:styleId="WW8Num28z3">
    <w:name w:val="WW8Num28z3"/>
    <w:qFormat/>
    <w:rPr/>
  </w:style>
  <w:style w:type="character" w:styleId="WW8Num30z6">
    <w:name w:val="WW8Num30z6"/>
    <w:qFormat/>
    <w:rPr/>
  </w:style>
  <w:style w:type="character" w:styleId="WW8Num23z1">
    <w:name w:val="WW8Num23z1"/>
    <w:qFormat/>
    <w:rPr/>
  </w:style>
  <w:style w:type="character" w:styleId="WW8Num19z3">
    <w:name w:val="WW8Num19z3"/>
    <w:qFormat/>
    <w:rPr/>
  </w:style>
  <w:style w:type="character" w:styleId="WW8Num8z7">
    <w:name w:val="WW8Num8z7"/>
    <w:qFormat/>
    <w:rPr/>
  </w:style>
  <w:style w:type="character" w:styleId="WW8Num14z3">
    <w:name w:val="WW8Num14z3"/>
    <w:qFormat/>
    <w:rPr/>
  </w:style>
  <w:style w:type="character" w:styleId="WW8Num12z7">
    <w:name w:val="WW8Num12z7"/>
    <w:qFormat/>
    <w:rPr/>
  </w:style>
  <w:style w:type="character" w:styleId="WW8Num12z3">
    <w:name w:val="WW8Num12z3"/>
    <w:qFormat/>
    <w:rPr/>
  </w:style>
  <w:style w:type="character" w:styleId="WW8Num10z4">
    <w:name w:val="WW8Num10z4"/>
    <w:qFormat/>
    <w:rPr/>
  </w:style>
  <w:style w:type="character" w:styleId="WW8Num16z4">
    <w:name w:val="WW8Num16z4"/>
    <w:qFormat/>
    <w:rPr/>
  </w:style>
  <w:style w:type="character" w:styleId="WW8Num13z6">
    <w:name w:val="WW8Num13z6"/>
    <w:qFormat/>
    <w:rPr/>
  </w:style>
  <w:style w:type="character" w:styleId="WW8Num30z3">
    <w:name w:val="WW8Num30z3"/>
    <w:qFormat/>
    <w:rPr/>
  </w:style>
  <w:style w:type="character" w:styleId="WW8Num19z0">
    <w:name w:val="WW8Num19z0"/>
    <w:qFormat/>
    <w:rPr/>
  </w:style>
  <w:style w:type="character" w:styleId="WW8Num10z7">
    <w:name w:val="WW8Num10z7"/>
    <w:qFormat/>
    <w:rPr/>
  </w:style>
  <w:style w:type="character" w:styleId="WW8Num11z5">
    <w:name w:val="WW8Num11z5"/>
    <w:qFormat/>
    <w:rPr/>
  </w:style>
  <w:style w:type="character" w:styleId="WW8Num20z6">
    <w:name w:val="WW8Num20z6"/>
    <w:qFormat/>
    <w:rPr/>
  </w:style>
  <w:style w:type="character" w:styleId="WW8Num22z1">
    <w:name w:val="WW8Num22z1"/>
    <w:qFormat/>
    <w:rPr/>
  </w:style>
  <w:style w:type="character" w:styleId="WW8Num19z8">
    <w:name w:val="WW8Num19z8"/>
    <w:qFormat/>
    <w:rPr/>
  </w:style>
  <w:style w:type="character" w:styleId="WW8Num27z1">
    <w:name w:val="WW8Num27z1"/>
    <w:qFormat/>
    <w:rPr/>
  </w:style>
  <w:style w:type="character" w:styleId="WW8Num12z5">
    <w:name w:val="WW8Num12z5"/>
    <w:qFormat/>
    <w:rPr/>
  </w:style>
  <w:style w:type="character" w:styleId="WW8Num28z7">
    <w:name w:val="WW8Num28z7"/>
    <w:qFormat/>
    <w:rPr/>
  </w:style>
  <w:style w:type="character" w:styleId="WW8Num14z8">
    <w:name w:val="WW8Num14z8"/>
    <w:qFormat/>
    <w:rPr/>
  </w:style>
  <w:style w:type="character" w:styleId="WW8Num7z4">
    <w:name w:val="WW8Num7z4"/>
    <w:qFormat/>
    <w:rPr/>
  </w:style>
  <w:style w:type="character" w:styleId="WW8Num19z1">
    <w:name w:val="WW8Num19z1"/>
    <w:qFormat/>
    <w:rPr/>
  </w:style>
  <w:style w:type="character" w:styleId="WW8Num13z8">
    <w:name w:val="WW8Num13z8"/>
    <w:qFormat/>
    <w:rPr/>
  </w:style>
  <w:style w:type="character" w:styleId="WW8Num19z6">
    <w:name w:val="WW8Num19z6"/>
    <w:qFormat/>
    <w:rPr/>
  </w:style>
  <w:style w:type="character" w:styleId="WW8Num12z6">
    <w:name w:val="WW8Num12z6"/>
    <w:qFormat/>
    <w:rPr/>
  </w:style>
  <w:style w:type="character" w:styleId="WW8Num8z4">
    <w:name w:val="WW8Num8z4"/>
    <w:qFormat/>
    <w:rPr/>
  </w:style>
  <w:style w:type="character" w:styleId="WW8Num11z2">
    <w:name w:val="WW8Num11z2"/>
    <w:qFormat/>
    <w:rPr/>
  </w:style>
  <w:style w:type="character" w:styleId="WW8Num14z5">
    <w:name w:val="WW8Num14z5"/>
    <w:qFormat/>
    <w:rPr/>
  </w:style>
  <w:style w:type="character" w:styleId="WW8Num8z6">
    <w:name w:val="WW8Num8z6"/>
    <w:qFormat/>
    <w:rPr/>
  </w:style>
  <w:style w:type="character" w:styleId="WW8Num7z3">
    <w:name w:val="WW8Num7z3"/>
    <w:qFormat/>
    <w:rPr/>
  </w:style>
  <w:style w:type="character" w:styleId="WW8Num7z5">
    <w:name w:val="WW8Num7z5"/>
    <w:qFormat/>
    <w:rPr/>
  </w:style>
  <w:style w:type="character" w:styleId="WW8Num8z3">
    <w:name w:val="WW8Num8z3"/>
    <w:qFormat/>
    <w:rPr/>
  </w:style>
  <w:style w:type="character" w:styleId="WW8Num14z2">
    <w:name w:val="WW8Num14z2"/>
    <w:qFormat/>
    <w:rPr/>
  </w:style>
  <w:style w:type="character" w:styleId="WW8Num8z5">
    <w:name w:val="WW8Num8z5"/>
    <w:qFormat/>
    <w:rPr/>
  </w:style>
  <w:style w:type="character" w:styleId="WW8Num12z8">
    <w:name w:val="WW8Num12z8"/>
    <w:qFormat/>
    <w:rPr/>
  </w:style>
  <w:style w:type="character" w:styleId="WW8Num11z7">
    <w:name w:val="WW8Num11z7"/>
    <w:qFormat/>
    <w:rPr/>
  </w:style>
  <w:style w:type="character" w:styleId="WW8Num20z7">
    <w:name w:val="WW8Num20z7"/>
    <w:qFormat/>
    <w:rPr/>
  </w:style>
  <w:style w:type="character" w:styleId="WW8Num22z0">
    <w:name w:val="WW8Num22z0"/>
    <w:qFormat/>
    <w:rPr/>
  </w:style>
  <w:style w:type="character" w:styleId="WW8Num11z8">
    <w:name w:val="WW8Num11z8"/>
    <w:qFormat/>
    <w:rPr/>
  </w:style>
  <w:style w:type="character" w:styleId="WW8Num10z5">
    <w:name w:val="WW8Num10z5"/>
    <w:qFormat/>
    <w:rPr/>
  </w:style>
  <w:style w:type="character" w:styleId="WW8Num12z2">
    <w:name w:val="WW8Num12z2"/>
    <w:qFormat/>
    <w:rPr/>
  </w:style>
  <w:style w:type="character" w:styleId="WW8Num16z6">
    <w:name w:val="WW8Num16z6"/>
    <w:qFormat/>
    <w:rPr/>
  </w:style>
  <w:style w:type="character" w:styleId="WW8Num20z2">
    <w:name w:val="WW8Num20z2"/>
    <w:qFormat/>
    <w:rPr/>
  </w:style>
  <w:style w:type="character" w:styleId="WW8Num13z2">
    <w:name w:val="WW8Num13z2"/>
    <w:qFormat/>
    <w:rPr/>
  </w:style>
  <w:style w:type="character" w:styleId="WW8Num16z8">
    <w:name w:val="WW8Num16z8"/>
    <w:qFormat/>
    <w:rPr/>
  </w:style>
  <w:style w:type="character" w:styleId="WW8Num20z4">
    <w:name w:val="WW8Num20z4"/>
    <w:qFormat/>
    <w:rPr/>
  </w:style>
  <w:style w:type="character" w:styleId="WW8Num19z4">
    <w:name w:val="WW8Num19z4"/>
    <w:qFormat/>
    <w:rPr/>
  </w:style>
  <w:style w:type="character" w:styleId="WW8Num10z2">
    <w:name w:val="WW8Num10z2"/>
    <w:qFormat/>
    <w:rPr/>
  </w:style>
  <w:style w:type="character" w:styleId="WW8Num14z4">
    <w:name w:val="WW8Num14z4"/>
    <w:qFormat/>
    <w:rPr/>
  </w:style>
  <w:style w:type="character" w:styleId="WW8Num10z3">
    <w:name w:val="WW8Num10z3"/>
    <w:qFormat/>
    <w:rPr/>
  </w:style>
  <w:style w:type="character" w:styleId="WW8Num16z3">
    <w:name w:val="WW8Num16z3"/>
    <w:qFormat/>
    <w:rPr/>
  </w:style>
  <w:style w:type="character" w:styleId="WW8Num19z2">
    <w:name w:val="WW8Num19z2"/>
    <w:qFormat/>
    <w:rPr/>
  </w:style>
  <w:style w:type="character" w:styleId="WW8Num14z7">
    <w:name w:val="WW8Num14z7"/>
    <w:qFormat/>
    <w:rPr/>
  </w:style>
  <w:style w:type="character" w:styleId="WW8Num16z5">
    <w:name w:val="WW8Num16z5"/>
    <w:qFormat/>
    <w:rPr/>
  </w:style>
  <w:style w:type="character" w:styleId="WW8Num8z8">
    <w:name w:val="WW8Num8z8"/>
    <w:qFormat/>
    <w:rPr/>
  </w:style>
  <w:style w:type="character" w:styleId="WW8Num10z6">
    <w:name w:val="WW8Num10z6"/>
    <w:qFormat/>
    <w:rPr/>
  </w:style>
  <w:style w:type="character" w:styleId="WW8Num10z8">
    <w:name w:val="WW8Num10z8"/>
    <w:qFormat/>
    <w:rPr/>
  </w:style>
  <w:style w:type="character" w:styleId="WW8Num20z5">
    <w:name w:val="WW8Num20z5"/>
    <w:qFormat/>
    <w:rPr/>
  </w:style>
  <w:style w:type="character" w:styleId="WW8Num12z4">
    <w:name w:val="WW8Num12z4"/>
    <w:qFormat/>
    <w:rPr/>
  </w:style>
  <w:style w:type="character" w:styleId="WW8Num19z5">
    <w:name w:val="WW8Num19z5"/>
    <w:qFormat/>
    <w:rPr/>
  </w:style>
  <w:style w:type="character" w:styleId="WW8Num11z6">
    <w:name w:val="WW8Num11z6"/>
    <w:qFormat/>
    <w:rPr/>
  </w:style>
  <w:style w:type="character" w:styleId="WW8Num18z0">
    <w:name w:val="WW8Num18z0"/>
    <w:qFormat/>
    <w:rPr/>
  </w:style>
  <w:style w:type="character" w:styleId="DefaultParagraphFont1">
    <w:name w:val="Default Paragraph Font1"/>
    <w:qFormat/>
    <w:rPr/>
  </w:style>
  <w:style w:type="character" w:styleId="WW8Num16z7">
    <w:name w:val="WW8Num16z7"/>
    <w:qFormat/>
    <w:rPr/>
  </w:style>
  <w:style w:type="character" w:styleId="WW8Num8z2">
    <w:name w:val="WW8Num8z2"/>
    <w:qFormat/>
    <w:rPr/>
  </w:style>
  <w:style w:type="character" w:styleId="WW8Num20z3">
    <w:name w:val="WW8Num20z3"/>
    <w:qFormat/>
    <w:rPr/>
  </w:style>
  <w:style w:type="character" w:styleId="WW8Num24z1">
    <w:name w:val="WW8Num24z1"/>
    <w:qFormat/>
    <w:rPr/>
  </w:style>
  <w:style w:type="character" w:styleId="WW8Num11z4">
    <w:name w:val="WW8Num11z4"/>
    <w:qFormat/>
    <w:rPr/>
  </w:style>
  <w:style w:type="character" w:styleId="WW8Num23z0">
    <w:name w:val="WW8Num23z0"/>
    <w:qFormat/>
    <w:rPr/>
  </w:style>
  <w:style w:type="character" w:styleId="WW8Num22z4">
    <w:name w:val="WW8Num22z4"/>
    <w:qFormat/>
    <w:rPr/>
  </w:style>
  <w:style w:type="character" w:styleId="Symbolyproslovn">
    <w:name w:val="Symboly pro číslování"/>
    <w:qFormat/>
    <w:rPr/>
  </w:style>
  <w:style w:type="character" w:styleId="WW8Num26z2">
    <w:name w:val="WW8Num26z2"/>
    <w:qFormat/>
    <w:rPr/>
  </w:style>
  <w:style w:type="character" w:styleId="WW8Num23z2">
    <w:name w:val="WW8Num23z2"/>
    <w:qFormat/>
    <w:rPr/>
  </w:style>
  <w:style w:type="character" w:styleId="WW8Num24z5">
    <w:name w:val="WW8Num24z5"/>
    <w:qFormat/>
    <w:rPr/>
  </w:style>
  <w:style w:type="character" w:styleId="WW8Num7z2">
    <w:name w:val="WW8Num7z2"/>
    <w:qFormat/>
    <w:rPr/>
  </w:style>
  <w:style w:type="character" w:styleId="WW8Num30z0">
    <w:name w:val="WW8Num30z0"/>
    <w:qFormat/>
    <w:rPr/>
  </w:style>
  <w:style w:type="character" w:styleId="WW8Num22z2">
    <w:name w:val="WW8Num22z2"/>
    <w:qFormat/>
    <w:rPr/>
  </w:style>
  <w:style w:type="character" w:styleId="WW8Num14z6">
    <w:name w:val="WW8Num14z6"/>
    <w:qFormat/>
    <w:rPr/>
  </w:style>
  <w:style w:type="character" w:styleId="WW8Num16z2">
    <w:name w:val="WW8Num16z2"/>
    <w:qFormat/>
    <w:rPr/>
  </w:style>
  <w:style w:type="character" w:styleId="WW8Num11z3">
    <w:name w:val="WW8Num11z3"/>
    <w:qFormat/>
    <w:rPr/>
  </w:style>
  <w:style w:type="character" w:styleId="WW8Num13z7">
    <w:name w:val="WW8Num13z7"/>
    <w:qFormat/>
    <w:rPr/>
  </w:style>
  <w:style w:type="character" w:styleId="WW8Num7z8">
    <w:name w:val="WW8Num7z8"/>
    <w:qFormat/>
    <w:rPr/>
  </w:style>
  <w:style w:type="character" w:styleId="WW8Num13z5">
    <w:name w:val="WW8Num13z5"/>
    <w:qFormat/>
    <w:rPr/>
  </w:style>
  <w:style w:type="character" w:styleId="WW8Num7z7">
    <w:name w:val="WW8Num7z7"/>
    <w:qFormat/>
    <w:rPr/>
  </w:style>
  <w:style w:type="character" w:styleId="WW8Num22z5">
    <w:name w:val="WW8Num22z5"/>
    <w:qFormat/>
    <w:rPr/>
  </w:style>
  <w:style w:type="character" w:styleId="WW8Num7z6">
    <w:name w:val="WW8Num7z6"/>
    <w:qFormat/>
    <w:rPr/>
  </w:style>
  <w:style w:type="character" w:styleId="WW8Num30z5">
    <w:name w:val="WW8Num30z5"/>
    <w:qFormat/>
    <w:rPr/>
  </w:style>
  <w:style w:type="character" w:styleId="WW8Num24z8">
    <w:name w:val="WW8Num24z8"/>
    <w:qFormat/>
    <w:rPr/>
  </w:style>
  <w:style w:type="character" w:styleId="WW8Num24z3">
    <w:name w:val="WW8Num24z3"/>
    <w:qFormat/>
    <w:rPr/>
  </w:style>
  <w:style w:type="character" w:styleId="WW8Num22z7">
    <w:name w:val="WW8Num22z7"/>
    <w:qFormat/>
    <w:rPr/>
  </w:style>
  <w:style w:type="character" w:styleId="WW8Num26z3">
    <w:name w:val="WW8Num26z3"/>
    <w:qFormat/>
    <w:rPr/>
  </w:style>
  <w:style w:type="character" w:styleId="WW8Num30z7">
    <w:name w:val="WW8Num30z7"/>
    <w:qFormat/>
    <w:rPr/>
  </w:style>
  <w:style w:type="character" w:styleId="WW8Num25z1">
    <w:name w:val="WW8Num25z1"/>
    <w:qFormat/>
    <w:rPr>
      <w:u w:val="none"/>
    </w:rPr>
  </w:style>
  <w:style w:type="character" w:styleId="WW8Num28z1">
    <w:name w:val="WW8Num28z1"/>
    <w:qFormat/>
    <w:rPr/>
  </w:style>
  <w:style w:type="character" w:styleId="WW8Num13z3">
    <w:name w:val="WW8Num13z3"/>
    <w:qFormat/>
    <w:rPr/>
  </w:style>
  <w:style w:type="character" w:styleId="WW8Num30z8">
    <w:name w:val="WW8Num30z8"/>
    <w:qFormat/>
    <w:rPr/>
  </w:style>
  <w:style w:type="character" w:styleId="WW8Num13z4">
    <w:name w:val="WW8Num13z4"/>
    <w:qFormat/>
    <w:rPr/>
  </w:style>
  <w:style w:type="character" w:styleId="WW8Num26z0">
    <w:name w:val="WW8Num26z0"/>
    <w:qFormat/>
    <w:rPr/>
  </w:style>
  <w:style w:type="character" w:styleId="WW8Num19z7">
    <w:name w:val="WW8Num19z7"/>
    <w:qFormat/>
    <w:rPr/>
  </w:style>
  <w:style w:type="character" w:styleId="WW8NumSt8z0">
    <w:name w:val="WW8NumSt8z0"/>
    <w:qFormat/>
    <w:rPr>
      <w:rFonts w:ascii="Symbol" w:hAnsi="Symbol" w:cs="Symbol"/>
    </w:rPr>
  </w:style>
  <w:style w:type="character" w:styleId="WW8Num20z0">
    <w:name w:val="WW8Num20z0"/>
    <w:qFormat/>
    <w:rPr>
      <w:b/>
    </w:rPr>
  </w:style>
  <w:style w:type="character" w:styleId="WW8Num26z1">
    <w:name w:val="WW8Num26z1"/>
    <w:qFormat/>
    <w:rPr/>
  </w:style>
  <w:style w:type="character" w:styleId="WW8Num21z0">
    <w:name w:val="WW8Num21z0"/>
    <w:qFormat/>
    <w:rPr/>
  </w:style>
  <w:style w:type="character" w:styleId="WW8Num20z1">
    <w:name w:val="WW8Num20z1"/>
    <w:qFormat/>
    <w:rPr/>
  </w:style>
  <w:style w:type="character" w:styleId="WW8Num20z8">
    <w:name w:val="WW8Num20z8"/>
    <w:qFormat/>
    <w:rPr/>
  </w:style>
  <w:style w:type="character" w:styleId="Standardnpsmoodstavce">
    <w:name w:val="Standardní písmo odstavce"/>
    <w:qFormat/>
    <w:rPr/>
  </w:style>
  <w:style w:type="character" w:styleId="WW8Num30z2">
    <w:name w:val="WW8Num30z2"/>
    <w:qFormat/>
    <w:rPr>
      <w:rFonts w:ascii="Times New Roman" w:hAnsi="Times New Roman" w:eastAsia="Times New Roman" w:cs="Times New Roman"/>
    </w:rPr>
  </w:style>
  <w:style w:type="character" w:styleId="WW8Num22z3">
    <w:name w:val="WW8Num22z3"/>
    <w:qFormat/>
    <w:rPr/>
  </w:style>
  <w:style w:type="character" w:styleId="WW8Num30z4">
    <w:name w:val="WW8Num30z4"/>
    <w:qFormat/>
    <w:rPr/>
  </w:style>
  <w:style w:type="character" w:styleId="WW8Num24z7">
    <w:name w:val="WW8Num24z7"/>
    <w:qFormat/>
    <w:rPr/>
  </w:style>
  <w:style w:type="character" w:styleId="WW8Num22z8">
    <w:name w:val="WW8Num22z8"/>
    <w:qFormat/>
    <w:rPr/>
  </w:style>
  <w:style w:type="character" w:styleId="WW8Num23z4">
    <w:name w:val="WW8Num23z4"/>
    <w:qFormat/>
    <w:rPr/>
  </w:style>
  <w:style w:type="character" w:styleId="Odrky">
    <w:name w:val="Odrážky"/>
    <w:qFormat/>
    <w:rPr>
      <w:rFonts w:ascii="OpenSymbol;Arial Unicode MS" w:hAnsi="OpenSymbol;Arial Unicode MS" w:eastAsia="OpenSymbol;Arial Unicode MS" w:cs="OpenSymbol;Arial Unicode MS"/>
    </w:rPr>
  </w:style>
  <w:style w:type="character" w:styleId="WW8Num23z5">
    <w:name w:val="WW8Num23z5"/>
    <w:qFormat/>
    <w:rPr/>
  </w:style>
  <w:style w:type="character" w:styleId="WW8Num26z5">
    <w:name w:val="WW8Num26z5"/>
    <w:qFormat/>
    <w:rPr/>
  </w:style>
  <w:style w:type="character" w:styleId="WW8Num23z6">
    <w:name w:val="WW8Num23z6"/>
    <w:qFormat/>
    <w:rPr/>
  </w:style>
  <w:style w:type="character" w:styleId="WW8Num28z6">
    <w:name w:val="WW8Num28z6"/>
    <w:qFormat/>
    <w:rPr/>
  </w:style>
  <w:style w:type="character" w:styleId="WW8Num23z7">
    <w:name w:val="WW8Num23z7"/>
    <w:qFormat/>
    <w:rPr/>
  </w:style>
  <w:style w:type="character" w:styleId="WW8NumSt9z0">
    <w:name w:val="WW8NumSt9z0"/>
    <w:qFormat/>
    <w:rPr>
      <w:rFonts w:ascii="Symbol" w:hAnsi="Symbol" w:cs="Symbol"/>
    </w:rPr>
  </w:style>
  <w:style w:type="character" w:styleId="WW8Num23z8">
    <w:name w:val="WW8Num23z8"/>
    <w:qFormat/>
    <w:rPr/>
  </w:style>
  <w:style w:type="character" w:styleId="WW8NumSt12z0">
    <w:name w:val="WW8NumSt12z0"/>
    <w:qFormat/>
    <w:rPr>
      <w:rFonts w:ascii="Symbol" w:hAnsi="Symbol" w:cs="Symbol"/>
    </w:rPr>
  </w:style>
  <w:style w:type="character" w:styleId="WW8Num27z3">
    <w:name w:val="WW8Num27z3"/>
    <w:qFormat/>
    <w:rPr/>
  </w:style>
  <w:style w:type="character" w:styleId="Fd1">
    <w:name w:val="fd1"/>
    <w:basedOn w:val="Standardnpsmoodstavce"/>
    <w:qFormat/>
    <w:rPr>
      <w:color w:val="000080"/>
    </w:rPr>
  </w:style>
  <w:style w:type="character" w:styleId="WW8Num24z0">
    <w:name w:val="WW8Num24z0"/>
    <w:qFormat/>
    <w:rPr>
      <w:sz w:val="24"/>
      <w:szCs w:val="24"/>
    </w:rPr>
  </w:style>
  <w:style w:type="character" w:styleId="WW8Num28z8">
    <w:name w:val="WW8Num28z8"/>
    <w:qFormat/>
    <w:rPr/>
  </w:style>
  <w:style w:type="character" w:styleId="WW8Num24z2">
    <w:name w:val="WW8Num24z2"/>
    <w:qFormat/>
    <w:rPr/>
  </w:style>
  <w:style w:type="character" w:styleId="WW8Num24z6">
    <w:name w:val="WW8Num24z6"/>
    <w:qFormat/>
    <w:rPr/>
  </w:style>
  <w:style w:type="character" w:styleId="WW8Num25z0">
    <w:name w:val="WW8Num25z0"/>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2">
    <w:name w:val="WW8Num27z2"/>
    <w:qFormat/>
    <w:rPr/>
  </w:style>
  <w:style w:type="character" w:styleId="WW8Num27z4">
    <w:name w:val="WW8Num27z4"/>
    <w:qFormat/>
    <w:rPr/>
  </w:style>
  <w:style w:type="character" w:styleId="WW8Num27z6">
    <w:name w:val="WW8Num27z6"/>
    <w:qFormat/>
    <w:rPr/>
  </w:style>
  <w:style w:type="character" w:styleId="WW8Num27z7">
    <w:name w:val="WW8Num27z7"/>
    <w:qFormat/>
    <w:rPr/>
  </w:style>
  <w:style w:type="character" w:styleId="WW8Num15z2">
    <w:name w:val="WW8Num15z2"/>
    <w:qFormat/>
    <w:rPr>
      <w:rFonts w:ascii="Symbol" w:hAnsi="Symbol" w:cs="Symbol"/>
    </w:rPr>
  </w:style>
  <w:style w:type="character" w:styleId="WW8Num15z5">
    <w:name w:val="WW8Num15z5"/>
    <w:qFormat/>
    <w:rPr>
      <w:rFonts w:ascii="Wingdings" w:hAnsi="Wingdings" w:cs="Wingdings"/>
    </w:rPr>
  </w:style>
  <w:style w:type="character" w:styleId="WW8Num28z0">
    <w:name w:val="WW8Num28z0"/>
    <w:qFormat/>
    <w:rPr/>
  </w:style>
  <w:style w:type="character" w:styleId="WW8Num28z4">
    <w:name w:val="WW8Num28z4"/>
    <w:qFormat/>
    <w:rPr/>
  </w:style>
  <w:style w:type="character" w:styleId="WW8Num28z5">
    <w:name w:val="WW8Num28z5"/>
    <w:qFormat/>
    <w:rPr/>
  </w:style>
  <w:style w:type="character" w:styleId="Internetovodkaz">
    <w:name w:val="Internetový odkaz"/>
    <w:qFormat/>
    <w:rPr>
      <w:color w:val="000080"/>
      <w:u w:val="single"/>
      <w:lang w:val="zxx" w:eastAsia="zxx" w:bidi="zxx"/>
    </w:rPr>
  </w:style>
  <w:style w:type="character" w:styleId="Odkaznarejstk">
    <w:name w:val="Odkaz na rejstřík"/>
    <w:qFormat/>
    <w:rPr/>
  </w:style>
  <w:style w:type="character" w:styleId="InternetLink">
    <w:name w:val="Hyperlink"/>
    <w:rPr>
      <w:color w:val="000080"/>
      <w:u w:val="single"/>
      <w:lang w:val="zxx" w:eastAsia="zxx" w:bidi="zxx"/>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widowControl w:val="false"/>
      <w:overflowPunct w:val="true"/>
      <w:jc w:val="both"/>
      <w:textAlignment w:val="baseline"/>
    </w:pPr>
    <w:rPr>
      <w:sz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Arial Unicode MS"/>
    </w:rPr>
  </w:style>
  <w:style w:type="paragraph" w:styleId="Nadpis">
    <w:name w:val="Nadpis"/>
    <w:basedOn w:val="Normal"/>
    <w:next w:val="TextBody"/>
    <w:qFormat/>
    <w:pPr>
      <w:keepNext w:val="true"/>
      <w:spacing w:before="240" w:after="120"/>
    </w:pPr>
    <w:rPr>
      <w:rFonts w:ascii="Arial" w:hAnsi="Arial" w:eastAsia="Microsoft YaHei" w:cs="Arial"/>
      <w:sz w:val="28"/>
      <w:szCs w:val="28"/>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HeaderandFooter">
    <w:name w:val="Header and Footer"/>
    <w:basedOn w:val="Normal"/>
    <w:qFormat/>
    <w:pPr/>
    <w:rPr/>
  </w:style>
  <w:style w:type="paragraph" w:styleId="Footer">
    <w:name w:val="Footer"/>
    <w:basedOn w:val="Normal"/>
    <w:pPr>
      <w:tabs>
        <w:tab w:val="clear" w:pos="708"/>
        <w:tab w:val="center" w:pos="4536" w:leader="none"/>
        <w:tab w:val="right" w:pos="9072" w:leader="none"/>
      </w:tabs>
    </w:pPr>
    <w:rPr/>
  </w:style>
  <w:style w:type="paragraph" w:styleId="TextBodyIndent">
    <w:name w:val="Body Text Indent"/>
    <w:basedOn w:val="Normal"/>
    <w:pPr>
      <w:ind w:left="1080" w:right="0" w:hanging="0"/>
    </w:pPr>
    <w:rPr/>
  </w:style>
  <w:style w:type="paragraph" w:styleId="Header">
    <w:name w:val="Header"/>
    <w:basedOn w:val="Normal"/>
    <w:pPr>
      <w:tabs>
        <w:tab w:val="clear" w:pos="708"/>
        <w:tab w:val="center" w:pos="4536" w:leader="none"/>
        <w:tab w:val="right" w:pos="9072" w:leader="none"/>
      </w:tabs>
    </w:pPr>
    <w:rPr/>
  </w:style>
  <w:style w:type="paragraph" w:styleId="Normlnweb">
    <w:name w:val="Normální (web)"/>
    <w:basedOn w:val="Normal"/>
    <w:qFormat/>
    <w:pPr>
      <w:spacing w:before="100" w:after="100"/>
    </w:pPr>
    <w:rPr>
      <w:rFonts w:ascii="Courier New" w:hAnsi="Courier New" w:cs="Courier New"/>
      <w:sz w:val="23"/>
      <w:szCs w:val="23"/>
    </w:rPr>
  </w:style>
  <w:style w:type="paragraph" w:styleId="Caption1">
    <w:name w:val="Caption1"/>
    <w:basedOn w:val="Normal"/>
    <w:qFormat/>
    <w:pPr>
      <w:suppressLineNumbers/>
      <w:spacing w:before="120" w:after="120"/>
    </w:pPr>
    <w:rPr>
      <w:rFonts w:cs="Arial"/>
      <w:i/>
      <w:iCs/>
      <w:sz w:val="24"/>
      <w:szCs w:val="24"/>
    </w:rPr>
  </w:style>
  <w:style w:type="paragraph" w:styleId="Rozvrendokumentu">
    <w:name w:val="Rozvržení dokumentu"/>
    <w:basedOn w:val="Normal"/>
    <w:qFormat/>
    <w:pPr/>
    <w:rPr>
      <w:rFonts w:ascii="Tahoma" w:hAnsi="Tahoma" w:cs="Tahoma"/>
    </w:rPr>
  </w:style>
  <w:style w:type="paragraph" w:styleId="Zkladntext2">
    <w:name w:val="Základní text 2"/>
    <w:basedOn w:val="Normal"/>
    <w:qFormat/>
    <w:pPr>
      <w:jc w:val="both"/>
    </w:pPr>
    <w:rPr>
      <w:color w:val="FF0000"/>
    </w:rPr>
  </w:style>
  <w:style w:type="paragraph" w:styleId="Textbubliny">
    <w:name w:val="Text bubliny"/>
    <w:basedOn w:val="Normal"/>
    <w:qFormat/>
    <w:pPr/>
    <w:rPr>
      <w:rFonts w:ascii="Tahoma" w:hAnsi="Tahoma" w:cs="Tahoma"/>
      <w:sz w:val="16"/>
      <w:szCs w:val="16"/>
    </w:rPr>
  </w:style>
  <w:style w:type="paragraph" w:styleId="Contents1">
    <w:name w:val="TOC 1"/>
    <w:basedOn w:val="Rejstk"/>
    <w:pPr>
      <w:tabs>
        <w:tab w:val="clear" w:pos="708"/>
        <w:tab w:val="right" w:pos="9070" w:leader="dot"/>
      </w:tabs>
      <w:spacing w:before="113" w:after="0"/>
      <w:ind w:left="0" w:right="0" w:hanging="0"/>
    </w:pPr>
    <w:rPr>
      <w:rFonts w:ascii="Arial" w:hAnsi="Arial" w:cs="Arial"/>
      <w:sz w:val="24"/>
    </w:rPr>
  </w:style>
  <w:style w:type="paragraph" w:styleId="Contents5">
    <w:name w:val="TOC 5"/>
    <w:basedOn w:val="Rejstk"/>
    <w:pPr>
      <w:tabs>
        <w:tab w:val="clear" w:pos="708"/>
        <w:tab w:val="right" w:pos="7938" w:leader="dot"/>
      </w:tabs>
      <w:ind w:left="1132" w:right="0" w:hanging="0"/>
    </w:pPr>
    <w:rPr/>
  </w:style>
  <w:style w:type="paragraph" w:styleId="Contents2">
    <w:name w:val="TOC 2"/>
    <w:basedOn w:val="Rejstk"/>
    <w:pPr>
      <w:tabs>
        <w:tab w:val="clear" w:pos="708"/>
        <w:tab w:val="right" w:pos="8787" w:leader="dot"/>
      </w:tabs>
      <w:ind w:left="283" w:right="0" w:hanging="0"/>
    </w:pPr>
    <w:rPr/>
  </w:style>
  <w:style w:type="paragraph" w:styleId="Contents3">
    <w:name w:val="TOC 3"/>
    <w:basedOn w:val="Rejstk"/>
    <w:pPr>
      <w:tabs>
        <w:tab w:val="clear" w:pos="708"/>
        <w:tab w:val="right" w:pos="8504" w:leader="dot"/>
      </w:tabs>
      <w:ind w:left="566" w:right="0"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LibreOffice/6.4.7.2$MacOSX_X86_64 LibreOffice_project/639b8ac485750d5696d7590a72ef1b496725cfb5</Application>
  <Pages>27</Pages>
  <Words>5729</Words>
  <Characters>34025</Characters>
  <CharactersWithSpaces>39554</CharactersWithSpaces>
  <Paragraphs>391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2017-11-18T03:37:15Z</dcterms:created>
  <dc:creator/>
  <dc:description/>
  <dc:language>cs-CZ</dc:language>
  <cp:lastModifiedBy>Miroslava Nebuželská</cp:lastModifiedBy>
  <dcterms:modified xsi:type="dcterms:W3CDTF">2023-01-27T18:34:38Z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